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0"/>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sz w:val="20"/>
        </w:rPr>
        <w:t>September 14, 2000</w:t>
      </w:r>
    </w:p>
    <w:p>
      <w:pPr>
        <w:pStyle w:val="Normal"/>
        <w:jc w:val="center"/>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r>
    </w:p>
    <w:p>
      <w:pPr>
        <w:pStyle w:val="Heading1"/>
        <w:ind w:hanging="0" w:start="0"/>
        <w:rPr>
          <w:sz w:val="20"/>
        </w:rPr>
      </w:pPr>
      <w:r>
        <w:rPr>
          <w:sz w:val="20"/>
        </w:rPr>
        <w:t xml:space="preserve">The Honorable </w:t>
      </w:r>
      <w:r>
        <w:rPr>
          <w:sz w:val="20"/>
          <w:lang w:val="en-CA"/>
        </w:rPr>
        <w:t>Richard K.</w:t>
      </w:r>
      <w:r>
        <w:rPr>
          <w:sz w:val="20"/>
        </w:rPr>
        <w:t xml:space="preserve"> </w:t>
      </w:r>
      <w:r>
        <w:rPr>
          <w:sz w:val="20"/>
          <w:lang w:val="en-CA"/>
        </w:rPr>
        <w:t>Armey</w:t>
      </w:r>
    </w:p>
    <w:p>
      <w:pPr>
        <w:pStyle w:val="Normal"/>
        <w:rPr>
          <w:rFonts w:ascii="Times New Roman" w:hAnsi="Times New Roman" w:cs="Times New Roman"/>
          <w:sz w:val="20"/>
        </w:rPr>
      </w:pPr>
      <w:r>
        <w:rPr>
          <w:rFonts w:cs="Times New Roman" w:ascii="Times New Roman" w:hAnsi="Times New Roman"/>
          <w:sz w:val="20"/>
        </w:rPr>
        <w:t>Majority Leader</w:t>
      </w:r>
    </w:p>
    <w:p>
      <w:pPr>
        <w:pStyle w:val="Normal"/>
        <w:jc w:val="both"/>
        <w:rPr>
          <w:rFonts w:ascii="Times New Roman" w:hAnsi="Times New Roman" w:cs="Times New Roman"/>
          <w:sz w:val="20"/>
        </w:rPr>
      </w:pPr>
      <w:r>
        <w:rPr>
          <w:rFonts w:cs="Times New Roman" w:ascii="Times New Roman" w:hAnsi="Times New Roman"/>
          <w:sz w:val="20"/>
        </w:rPr>
        <w:t>United States House of Representatives</w:t>
      </w:r>
    </w:p>
    <w:p>
      <w:pPr>
        <w:pStyle w:val="Normal"/>
        <w:jc w:val="both"/>
        <w:rPr>
          <w:rFonts w:ascii="Times New Roman" w:hAnsi="Times New Roman" w:cs="Times New Roman"/>
          <w:sz w:val="20"/>
        </w:rPr>
      </w:pPr>
      <w:r>
        <w:rPr>
          <w:rFonts w:cs="Times New Roman" w:ascii="Times New Roman" w:hAnsi="Times New Roman"/>
          <w:sz w:val="20"/>
        </w:rPr>
        <w:t>H-327A, Capitol</w:t>
      </w:r>
    </w:p>
    <w:p>
      <w:pPr>
        <w:pStyle w:val="Normal"/>
        <w:jc w:val="both"/>
        <w:rPr>
          <w:rFonts w:ascii="Times New Roman" w:hAnsi="Times New Roman" w:cs="Times New Roman"/>
          <w:sz w:val="20"/>
        </w:rPr>
      </w:pPr>
      <w:r>
        <w:rPr>
          <w:rFonts w:cs="Times New Roman" w:ascii="Times New Roman" w:hAnsi="Times New Roman"/>
          <w:sz w:val="20"/>
        </w:rPr>
        <w:t>Washington, DC  20515</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 xml:space="preserve">Dear </w:t>
      </w:r>
      <w:r>
        <w:rPr>
          <w:rFonts w:cs="Times New Roman" w:ascii="Times New Roman" w:hAnsi="Times New Roman"/>
          <w:sz w:val="20"/>
          <w:lang w:val="en-CA"/>
        </w:rPr>
        <w:t>Mr. Leader</w:t>
      </w:r>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ind w:firstLine="720" w:end="0"/>
        <w:jc w:val="both"/>
        <w:rPr>
          <w:rFonts w:ascii="Times New Roman" w:hAnsi="Times New Roman" w:cs="Times New Roman"/>
          <w:sz w:val="20"/>
        </w:rPr>
      </w:pPr>
      <w:r>
        <w:rPr>
          <w:rFonts w:cs="Times New Roman" w:ascii="Times New Roman" w:hAnsi="Times New Roman"/>
          <w:sz w:val="20"/>
        </w:rPr>
        <w:t xml:space="preserve">I am writing to urge enactment of H.R. 4541, the Commodity Futures Modernization Act of 2000.  This important legislation provides critical legal certainty for a range of transactions that are a central part of Enron’s risk management and commodity trading businesses.  Enron is the largest trader of natural gas and electricity in the US and we actively trade other commodities.  To facilitate our commodity trading business, we have developed EnronOnline, the world’s largest business-to-business marketplace with over $140 billion in trades since November 1999.  </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firstLine="360" w:end="0"/>
        <w:jc w:val="both"/>
        <w:rPr>
          <w:rFonts w:ascii="Times New Roman" w:hAnsi="Times New Roman" w:cs="Times New Roman"/>
          <w:sz w:val="20"/>
        </w:rPr>
      </w:pPr>
      <w:r>
        <w:rPr>
          <w:rFonts w:cs="Times New Roman" w:ascii="Times New Roman" w:hAnsi="Times New Roman"/>
          <w:sz w:val="20"/>
        </w:rPr>
        <w:t>We appreciate the fine work of the House Agriculture, Commerce, and Banking Committees and applaud the leadership of their Chairmen and Ranking Members.  With respect to the language most critical to Enron, we urge adoption of the Commerce Committee version of H.R. 4541.  Specifically, Section 9 of H.R. 4541 enhances legal certainty for transactions in certain commodities by providing that:</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2"/>
        </w:numPr>
        <w:tabs>
          <w:tab w:val="clear" w:pos="720"/>
          <w:tab w:val="left" w:pos="1080" w:leader="none"/>
        </w:tabs>
        <w:ind w:hanging="360" w:start="1080" w:end="0"/>
        <w:jc w:val="both"/>
        <w:rPr>
          <w:rFonts w:ascii="Times New Roman" w:hAnsi="Times New Roman" w:cs="Times New Roman"/>
          <w:sz w:val="20"/>
        </w:rPr>
      </w:pPr>
      <w:r>
        <w:rPr>
          <w:rFonts w:cs="Times New Roman" w:ascii="Times New Roman" w:hAnsi="Times New Roman"/>
          <w:sz w:val="20"/>
        </w:rPr>
        <w:t xml:space="preserve">Except for the application of the Commodity Exchange Act’s antifraud and antimanipulation provisions, bilateral transactions in commodities (except agricultural commodities) between sophisticated market participants would not otherwise be subject to the Commodity Exchange Act.  </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3"/>
        </w:numPr>
        <w:tabs>
          <w:tab w:val="clear" w:pos="720"/>
          <w:tab w:val="left" w:pos="1080" w:leader="none"/>
        </w:tabs>
        <w:ind w:hanging="360" w:start="1080" w:end="0"/>
        <w:jc w:val="both"/>
        <w:rPr>
          <w:rFonts w:ascii="Times New Roman" w:hAnsi="Times New Roman" w:cs="Times New Roman"/>
          <w:sz w:val="20"/>
        </w:rPr>
      </w:pPr>
      <w:r>
        <w:rPr>
          <w:rFonts w:cs="Times New Roman" w:ascii="Times New Roman" w:hAnsi="Times New Roman"/>
          <w:sz w:val="20"/>
        </w:rPr>
        <w:t xml:space="preserve">Except with respect to the Commodity Exchange Act’s antifraud and antimanipulation provisions and in certain circumstances the requirement to disseminate trading data, the CEA would not otherwise apply to transactions in commodities (other than agricultural commodities) on Electronic Trading Facilities that are limited to sophisticated market participants.  </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firstLine="720" w:end="0"/>
        <w:jc w:val="both"/>
        <w:rPr>
          <w:rFonts w:ascii="Times New Roman" w:hAnsi="Times New Roman" w:cs="Times New Roman"/>
          <w:sz w:val="20"/>
        </w:rPr>
      </w:pPr>
      <w:r>
        <w:rPr>
          <w:rFonts w:cs="Times New Roman" w:ascii="Times New Roman" w:hAnsi="Times New Roman"/>
          <w:sz w:val="20"/>
        </w:rPr>
        <w:t xml:space="preserve">These two important provisions eliminate legal uncertainty over certain transactions and reduce the regulatory burden placed on sophisticated market participants. The provisions recognize that sophisticated parties do not require the protections of the CEA and, more importantly, eliminate the risk that transactions between eligible contract participants could subsequently be determined by a court of law to be unenforceable for failure to comply with the CEA.  Also, the relief with respect to electronic trading facilities recognizes the natural evolution in the marketplace from the telephone to the Internet.  Providing legal certainty for use of electronic trading facilities eliminates the risk that these electronic platforms would be determined to be operating illegally as “exchanges” unregulated by the CFTC.  </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firstLine="720" w:end="0"/>
        <w:jc w:val="both"/>
        <w:rPr>
          <w:rFonts w:ascii="Times New Roman" w:hAnsi="Times New Roman" w:cs="Times New Roman"/>
          <w:sz w:val="20"/>
        </w:rPr>
      </w:pPr>
      <w:r>
        <w:rPr>
          <w:rFonts w:cs="Times New Roman" w:ascii="Times New Roman" w:hAnsi="Times New Roman"/>
          <w:sz w:val="20"/>
        </w:rPr>
        <w:t>Prompt adoption of H.R. 4541 with the language included above will assure that Enron can continue to grow our businesses and provide innovative service to our customers without the risk and cost of legal uncertainty that now exists.</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firstLine="720" w:end="0"/>
        <w:jc w:val="both"/>
        <w:rPr>
          <w:rFonts w:ascii="Times New Roman" w:hAnsi="Times New Roman" w:cs="Times New Roman"/>
          <w:sz w:val="20"/>
        </w:rPr>
      </w:pPr>
      <w:r>
        <w:rPr>
          <w:rFonts w:cs="Times New Roman" w:ascii="Times New Roman" w:hAnsi="Times New Roman"/>
          <w:sz w:val="20"/>
        </w:rPr>
        <w:t>I appreciate your attention to this important matter and would be pleased to respond to any questions that you might have.</w:t>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Sincerely,</w:t>
      </w:r>
    </w:p>
    <w:p>
      <w:pPr>
        <w:pStyle w:val="Normal"/>
        <w:jc w:val="center"/>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Times New Roman" w:hAnsi="Times New Roman" w:cs="Times New Roma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2000-09-15T11:01:00Z</dcterms:created>
  <dc:creator>afabian</dc:creator>
  <dc:description/>
  <dc:language>en-CA</dc:language>
  <cp:lastModifiedBy>afabian</cp:lastModifiedBy>
  <dcterms:modified xsi:type="dcterms:W3CDTF">2000-09-15T11:11:00Z</dcterms:modified>
  <cp:revision>2</cp:revision>
  <dc:subject/>
  <dc:title>September 14, 2000</dc:title>
</cp:coreProperties>
</file>