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jc w:val="center"/>
        <w:rPr/>
      </w:pPr>
      <w:r>
        <w:rPr/>
      </w:r>
    </w:p>
    <w:p>
      <w:pPr>
        <w:pStyle w:val="Heading3"/>
        <w:ind w:hanging="0" w:start="0"/>
        <w:jc w:val="center"/>
        <w:rPr/>
      </w:pPr>
      <w:r>
        <w:rPr/>
      </w:r>
    </w:p>
    <w:p>
      <w:pPr>
        <w:pStyle w:val="Heading3"/>
        <w:ind w:hanging="0" w:start="0"/>
        <w:jc w:val="center"/>
        <w:rPr/>
      </w:pPr>
      <w:r>
        <w:rPr/>
      </w:r>
    </w:p>
    <w:p>
      <w:pPr>
        <w:pStyle w:val="Heading3"/>
        <w:ind w:hanging="0" w:start="0"/>
        <w:jc w:val="center"/>
        <w:rPr/>
      </w:pPr>
      <w:r>
        <w:rPr/>
        <w:t>Attachment 1 -CFTC Background</w:t>
      </w:r>
    </w:p>
    <w:p>
      <w:pPr>
        <w:pStyle w:val="Normal"/>
        <w:rPr/>
      </w:pPr>
      <w:r>
        <w:rPr/>
      </w:r>
    </w:p>
    <w:p>
      <w:pPr>
        <w:pStyle w:val="NormalWeb"/>
        <w:rPr>
          <w:rFonts w:ascii="Times New Roman" w:hAnsi="Times New Roman" w:cs="Times New Roman"/>
          <w:szCs w:val="20"/>
        </w:rPr>
      </w:pPr>
      <w:r>
        <w:rPr>
          <w:rFonts w:cs="Times New Roman" w:ascii="Times New Roman" w:hAnsi="Times New Roman"/>
        </w:rPr>
        <w:t xml:space="preserve">Congress created the Commodity Futures Trading Commission (CFTC) in 1974 as an independent agency with the mandate to regulate commodity futures and option markets in the United States. The agency protects market participants against manipulation, abusive trade practices and fraud. Through effective oversight and regulation, the CFTC enables the markets to serve better their important functions in the nation's economy--providing a mechanism for price discovery and a means of offsetting price risk. </w:t>
      </w:r>
    </w:p>
    <w:p>
      <w:pPr>
        <w:pStyle w:val="NormalWeb"/>
        <w:rPr>
          <w:rFonts w:ascii="Times New Roman" w:hAnsi="Times New Roman" w:cs="Times New Roman"/>
        </w:rPr>
      </w:pPr>
      <w:r>
        <w:rPr>
          <w:rFonts w:cs="Times New Roman" w:ascii="Times New Roman" w:hAnsi="Times New Roman"/>
          <w:b/>
          <w:bCs/>
          <w:i/>
          <w:iCs/>
          <w:color w:val="000080"/>
          <w:szCs w:val="36"/>
        </w:rPr>
        <w:t>Who Uses Futures and Options Markets?</w:t>
      </w:r>
    </w:p>
    <w:p>
      <w:pPr>
        <w:pStyle w:val="NormalWeb"/>
        <w:rPr>
          <w:rFonts w:ascii="Times New Roman" w:hAnsi="Times New Roman" w:cs="Times New Roman"/>
        </w:rPr>
      </w:pPr>
      <w:r>
        <w:rPr>
          <w:rFonts w:cs="Times New Roman" w:ascii="Times New Roman" w:hAnsi="Times New Roman"/>
        </w:rPr>
        <w:t xml:space="preserve">Most of the participants in the futures and option markets are commercial or institutional users of the commodities they trade. These users, most of whom are called "hedgers," want the value of their assets to increase and also want to limit, if possible, any loss in value. Hedgers may use the commodity markets to take a position, which will reduce the risk of financial loss in their assets due to a change in price. Other participants are "speculators" who hope to profit from changes in the price of the futures or option contract. </w:t>
      </w:r>
    </w:p>
    <w:p>
      <w:pPr>
        <w:pStyle w:val="NormalWeb"/>
        <w:rPr>
          <w:rFonts w:ascii="Times New Roman" w:hAnsi="Times New Roman" w:cs="Times New Roman"/>
        </w:rPr>
      </w:pPr>
      <w:r>
        <w:rPr>
          <w:rFonts w:cs="Times New Roman" w:ascii="Times New Roman" w:hAnsi="Times New Roman"/>
          <w:b/>
          <w:bCs/>
          <w:i/>
          <w:iCs/>
          <w:color w:val="000080"/>
          <w:szCs w:val="36"/>
        </w:rPr>
        <w:t>CFTC's Responsibilities to the Markets and Their Users</w:t>
      </w:r>
    </w:p>
    <w:p>
      <w:pPr>
        <w:pStyle w:val="NormalWeb"/>
        <w:rPr/>
      </w:pPr>
      <w:r>
        <w:rPr>
          <w:rFonts w:cs="Times New Roman" w:ascii="Times New Roman" w:hAnsi="Times New Roman"/>
          <w:b/>
          <w:bCs/>
          <w:color w:val="000080"/>
          <w:szCs w:val="27"/>
        </w:rPr>
        <w:t>Contract Review and Market Surveillance:</w:t>
      </w:r>
      <w:r>
        <w:rPr>
          <w:rFonts w:cs="Times New Roman" w:ascii="Times New Roman" w:hAnsi="Times New Roman"/>
        </w:rPr>
        <w:t xml:space="preserve">  To ensure the financial and market integrity of the nation's futures markets, the CFTC reviews the terms and conditions of proposed futures and option contracts. Before an exchange is permitted to trade a futures and option contract in a specific commodity, it must demonstrate that the contract reflects the normal market flow and commercial trading practices in the actual commodity. The Commission conducts daily market surveillance and can, in an emergency, order an exchange to take specific action or to restore orderliness in any futures contract that is being traded. </w:t>
      </w:r>
    </w:p>
    <w:p>
      <w:pPr>
        <w:pStyle w:val="NormalWeb"/>
        <w:rPr/>
      </w:pPr>
      <w:r>
        <w:rPr>
          <w:rFonts w:cs="Times New Roman" w:ascii="Times New Roman" w:hAnsi="Times New Roman"/>
          <w:b/>
          <w:bCs/>
          <w:color w:val="000080"/>
          <w:szCs w:val="27"/>
        </w:rPr>
        <w:t xml:space="preserve">Regulation of Futures Professionals:  </w:t>
      </w:r>
      <w:r>
        <w:rPr>
          <w:rFonts w:cs="Times New Roman" w:ascii="Times New Roman" w:hAnsi="Times New Roman"/>
        </w:rPr>
        <w:t xml:space="preserve">Companies and individuals who handle customer funds or give trading advice must apply for registration through the </w:t>
      </w:r>
      <w:hyperlink r:id="rId2">
        <w:r>
          <w:rPr>
            <w:rStyle w:val="Hyperlink"/>
            <w:rFonts w:cs="Times New Roman" w:ascii="Times New Roman" w:hAnsi="Times New Roman"/>
            <w:u w:val="none"/>
          </w:rPr>
          <w:t>National Futures Association</w:t>
        </w:r>
      </w:hyperlink>
      <w:r>
        <w:rPr>
          <w:rFonts w:cs="Times New Roman" w:ascii="Times New Roman" w:hAnsi="Times New Roman"/>
        </w:rPr>
        <w:t xml:space="preserve"> (NFA), a self-regulatory organization approved by the Commission. The CFTC also seeks to protect customers by requiring registrants to disclose market risks and past performance information to prospective customers, by requiring that customer funds be kept in accounts separate from those maintained by the firm for its own use, and by requiring customer accounts to be adjusted to reflect the current market value at the close of trading each day. In addition, the CFTC monitors registrant supervision systems, internal controls and sales practice compliance programs. Further, all registrants are required to complete ethics training. </w:t>
      </w:r>
    </w:p>
    <w:p>
      <w:pPr>
        <w:pStyle w:val="NormalWeb"/>
        <w:rPr>
          <w:rFonts w:ascii="Times New Roman" w:hAnsi="Times New Roman" w:cs="Times New Roman"/>
        </w:rPr>
      </w:pPr>
      <w:r>
        <w:rPr>
          <w:rFonts w:cs="Times New Roman" w:ascii="Times New Roman" w:hAnsi="Times New Roman"/>
        </w:rPr>
        <w:t xml:space="preserve">Commodity exchanges complement Federal regulation with rules of their own — rules covering clearance of trades, trade orders and records, position limits, price limits, disciplinary actions, floor trading practices and standards of business conduct. A new or amended exchange rule may be implemented only upon approval by the CFTC, which may also direct an exchange to change its rules or practices. The CFTC also regularly audits each exchange’s compliance program. </w:t>
      </w:r>
    </w:p>
    <w:p>
      <w:pPr>
        <w:pStyle w:val="NormalWeb"/>
        <w:rPr>
          <w:rFonts w:ascii="Times New Roman" w:hAnsi="Times New Roman" w:cs="Times New Roman"/>
        </w:rPr>
      </w:pPr>
      <w:r>
        <w:rPr>
          <w:rFonts w:cs="Times New Roman" w:ascii="Times New Roman" w:hAnsi="Times New Roman"/>
          <w:b/>
          <w:bCs/>
          <w:i/>
          <w:iCs/>
          <w:color w:val="000080"/>
          <w:szCs w:val="36"/>
        </w:rPr>
        <w:t>How the CFTC is Organized</w:t>
      </w:r>
      <w:r>
        <w:rPr>
          <w:rFonts w:cs="Times New Roman" w:ascii="Times New Roman" w:hAnsi="Times New Roman"/>
          <w:color w:val="000080"/>
          <w:szCs w:val="27"/>
        </w:rPr>
        <w:t xml:space="preserve"> </w:t>
      </w:r>
    </w:p>
    <w:p>
      <w:pPr>
        <w:pStyle w:val="NormalWeb"/>
        <w:rPr>
          <w:rFonts w:ascii="Times New Roman" w:hAnsi="Times New Roman" w:cs="Times New Roman"/>
          <w:b/>
          <w:bCs/>
          <w:i/>
          <w:i/>
          <w:iCs/>
          <w:color w:val="000080"/>
          <w:szCs w:val="27"/>
        </w:rPr>
      </w:pPr>
      <w:r>
        <w:rPr>
          <w:rFonts w:cs="Times New Roman" w:ascii="Times New Roman" w:hAnsi="Times New Roman"/>
          <w:b/>
          <w:bCs/>
          <w:i/>
          <w:iCs/>
          <w:color w:val="000080"/>
          <w:szCs w:val="27"/>
        </w:rPr>
        <w:t>Commissioners</w:t>
      </w:r>
    </w:p>
    <w:p>
      <w:pPr>
        <w:pStyle w:val="NormalWeb"/>
        <w:rPr>
          <w:rFonts w:ascii="Times New Roman" w:hAnsi="Times New Roman" w:cs="Times New Roman"/>
          <w:color w:val="0000FF"/>
        </w:rPr>
      </w:pPr>
      <w:r>
        <w:rPr>
          <w:rFonts w:cs="Times New Roman" w:ascii="Times New Roman" w:hAnsi="Times New Roman"/>
        </w:rPr>
        <w:t xml:space="preserve">The Commission consists of </w:t>
      </w:r>
      <w:hyperlink r:id="rId3">
        <w:r>
          <w:rPr>
            <w:rStyle w:val="Hyperlink"/>
            <w:rFonts w:cs="Times New Roman" w:ascii="Times New Roman" w:hAnsi="Times New Roman"/>
            <w:u w:val="none"/>
          </w:rPr>
          <w:t>five Commissioners</w:t>
        </w:r>
      </w:hyperlink>
      <w:r>
        <w:rPr>
          <w:rFonts w:cs="Times New Roman" w:ascii="Times New Roman" w:hAnsi="Times New Roman"/>
        </w:rPr>
        <w:t xml:space="preserve">, appointed by the President with the advice and consent of the Senate to serve staggered five-year terms. The Commission develops and implements agency policy and direction. One of the Commissioners is designated by the President to serve as Chairperson. The Chairperson's staff has direct responsibility for providing information about the Commission to the public and interacting with other governmental agencies and the Congress, as well as the preparation and dissemination of Commission documents. The Chairperson's staff also ensures that the Commission is responsive to requests filed under the Freedom of Information Act. The Chairperson's staff also includes the Office of the Inspector General, which conducts audits of CFTC programs and operations, and the </w:t>
      </w:r>
      <w:hyperlink r:id="rId4">
        <w:r>
          <w:rPr>
            <w:rStyle w:val="Hyperlink"/>
            <w:rFonts w:cs="Times New Roman" w:ascii="Times New Roman" w:hAnsi="Times New Roman"/>
            <w:u w:val="none"/>
          </w:rPr>
          <w:t>Office of International Affairs</w:t>
        </w:r>
      </w:hyperlink>
      <w:r>
        <w:rPr>
          <w:rFonts w:cs="Times New Roman" w:ascii="Times New Roman" w:hAnsi="Times New Roman"/>
          <w:color w:val="000080"/>
        </w:rPr>
        <w:t>,</w:t>
      </w:r>
      <w:r>
        <w:rPr>
          <w:rFonts w:cs="Times New Roman" w:ascii="Times New Roman" w:hAnsi="Times New Roman"/>
        </w:rPr>
        <w:t xml:space="preserve"> which is the focal point for the Commission's global regulatory coordination efforts. </w:t>
      </w:r>
    </w:p>
    <w:p>
      <w:pPr>
        <w:pStyle w:val="NormalWeb"/>
        <w:rPr>
          <w:rFonts w:ascii="Times New Roman" w:hAnsi="Times New Roman" w:cs="Times New Roman"/>
        </w:rPr>
      </w:pPr>
      <w:r>
        <w:rPr>
          <w:rFonts w:cs="Times New Roman" w:ascii="Times New Roman" w:hAnsi="Times New Roman"/>
        </w:rPr>
        <w:t xml:space="preserve">Major policy decisions and Commission actions, such as approval of exchange designations, adoption of agency rules and regulations, and the authorization of enforcement actions, must be approved by a majority vote of the Commissioners. Most Commission meetings are open to the public. Information on Commission meetings can be obtained from the Commission's Office of Public Affairs or the CFTC's home page on the World Wide Web. </w:t>
      </w:r>
    </w:p>
    <w:p>
      <w:pPr>
        <w:pStyle w:val="NormalWeb"/>
        <w:rPr>
          <w:rFonts w:ascii="Times New Roman" w:hAnsi="Times New Roman" w:cs="Times New Roman"/>
        </w:rPr>
      </w:pPr>
      <w:r>
        <w:rPr>
          <w:rFonts w:cs="Times New Roman" w:ascii="Times New Roman" w:hAnsi="Times New Roman"/>
        </w:rPr>
        <w:t xml:space="preserve">The CFTC monitors markets and market participants closely by maintaining, in addition to its headquarters office in Washington, offices in cities that have futures exchanges--New York, Chicago, Kansas City and Minneapolis. For enforcement purposes, the Commission also maintains an office in Los Angeles. </w:t>
      </w:r>
    </w:p>
    <w:p>
      <w:pPr>
        <w:pStyle w:val="NormalWeb"/>
        <w:rPr>
          <w:rFonts w:ascii="Times New Roman" w:hAnsi="Times New Roman" w:cs="Times New Roman"/>
        </w:rPr>
      </w:pPr>
      <w:r>
        <w:rPr>
          <w:rFonts w:cs="Times New Roman" w:ascii="Times New Roman" w:hAnsi="Times New Roman"/>
          <w:b/>
          <w:bCs/>
          <w:i/>
          <w:iCs/>
          <w:color w:val="000080"/>
          <w:szCs w:val="36"/>
        </w:rPr>
        <w:t>Operating Units</w:t>
      </w:r>
      <w:r>
        <w:rPr>
          <w:rFonts w:cs="Times New Roman" w:ascii="Times New Roman" w:hAnsi="Times New Roman"/>
          <w:color w:val="000080"/>
          <w:szCs w:val="27"/>
        </w:rPr>
        <w:t xml:space="preserve"> </w:t>
      </w:r>
    </w:p>
    <w:p>
      <w:pPr>
        <w:pStyle w:val="NormalWeb"/>
        <w:rPr>
          <w:rFonts w:ascii="Times New Roman" w:hAnsi="Times New Roman" w:cs="Times New Roman"/>
        </w:rPr>
      </w:pPr>
      <w:r>
        <w:rPr>
          <w:rFonts w:cs="Times New Roman" w:ascii="Times New Roman" w:hAnsi="Times New Roman"/>
        </w:rPr>
        <w:t xml:space="preserve">The Commission has five major operating units: the Division of Economic Analysis, the Division of Trading and Markets, the Division of Enforcement, the Office of the General Counsel, and the Office of the Executive Director. </w:t>
      </w:r>
    </w:p>
    <w:p>
      <w:pPr>
        <w:pStyle w:val="NormalWeb"/>
        <w:rPr>
          <w:rFonts w:ascii="Times New Roman" w:hAnsi="Times New Roman" w:cs="Times New Roman"/>
        </w:rPr>
      </w:pPr>
      <w:hyperlink r:id="rId5">
        <w:r>
          <w:rPr>
            <w:rStyle w:val="Hyperlink"/>
            <w:rFonts w:cs="Times New Roman" w:ascii="Times New Roman" w:hAnsi="Times New Roman"/>
            <w:b/>
            <w:bCs/>
            <w:u w:val="none"/>
          </w:rPr>
          <w:t>Division of Economic Analysis</w:t>
        </w:r>
      </w:hyperlink>
      <w:r>
        <w:rPr>
          <w:rFonts w:cs="Times New Roman" w:ascii="Times New Roman" w:hAnsi="Times New Roman"/>
          <w:color w:val="000080"/>
        </w:rPr>
        <w:t xml:space="preserve"> </w:t>
      </w:r>
    </w:p>
    <w:p>
      <w:pPr>
        <w:pStyle w:val="NormalWeb"/>
        <w:rPr>
          <w:rFonts w:ascii="Times New Roman" w:hAnsi="Times New Roman" w:cs="Times New Roman"/>
        </w:rPr>
      </w:pPr>
      <w:r>
        <w:rPr>
          <w:rFonts w:cs="Times New Roman" w:ascii="Times New Roman" w:hAnsi="Times New Roman"/>
        </w:rPr>
        <w:t xml:space="preserve">The purpose of the Division of Economic Analysis (DEA) is to ensure that markets remain competitive and responsive to underlying supply and demand factors by detecting and protecting against price manipulation. DEA conducts daily market surveillance to detect actual or potential manipulations, congestion, or price distortion. DEA also reviews applications for new futures and option contracts and changes to existing contracts to ensure that the terms and conditions conform to cash market practices. In addition, DEA provides economic analyses for enforcement investigations and expert testimony for litigation, and conducts research on market issues. </w:t>
      </w:r>
    </w:p>
    <w:p>
      <w:pPr>
        <w:pStyle w:val="NormalWeb"/>
        <w:rPr>
          <w:rFonts w:ascii="Times New Roman" w:hAnsi="Times New Roman" w:cs="Times New Roman"/>
        </w:rPr>
      </w:pPr>
      <w:r>
        <w:rPr>
          <w:rFonts w:cs="Times New Roman" w:ascii="Times New Roman" w:hAnsi="Times New Roman"/>
        </w:rPr>
      </w:r>
    </w:p>
    <w:p>
      <w:pPr>
        <w:pStyle w:val="NormalWeb"/>
        <w:rPr>
          <w:rFonts w:ascii="Times New Roman" w:hAnsi="Times New Roman" w:cs="Times New Roman"/>
        </w:rPr>
      </w:pPr>
      <w:hyperlink r:id="rId6">
        <w:r>
          <w:rPr>
            <w:rStyle w:val="Hyperlink"/>
            <w:rFonts w:cs="Times New Roman" w:ascii="Times New Roman" w:hAnsi="Times New Roman"/>
            <w:b/>
            <w:bCs/>
            <w:u w:val="none"/>
          </w:rPr>
          <w:t>Division of Trading and Markets</w:t>
        </w:r>
      </w:hyperlink>
    </w:p>
    <w:p>
      <w:pPr>
        <w:pStyle w:val="NormalWeb"/>
        <w:rPr>
          <w:rFonts w:ascii="Times New Roman" w:hAnsi="Times New Roman" w:cs="Times New Roman"/>
        </w:rPr>
      </w:pPr>
      <w:r>
        <w:rPr>
          <w:rFonts w:cs="Times New Roman" w:ascii="Times New Roman" w:hAnsi="Times New Roman"/>
        </w:rPr>
        <w:t xml:space="preserve">The Division of Trading and Markets (T&amp;M) oversees the compliance activities of the commodity exchanges and the National Futures Association (NFA). T&amp;M conducts trade practice surveillance and performs financial and sales practice audits of selected registrants. T&amp;M reviews exchange applications to trade new futures and option contracts, considers exchange and NFA rule submissions or amendments, and oversees the ethics training of industry professionals. T&amp;M drafts Commission regulations, which govern the operation of all exchanges and the NFA. Regulations drafted by T&amp;M define the requirements for registration, disclosure, minimum financial standards, segregation of customer funds, supervision and internal controls, and other activities of regulated entities. T&amp;M also serves as the focal point for the Commission's global regulatory coordination efforts and develops regulations and policies governing foreign and cross-border transactions. </w:t>
      </w:r>
    </w:p>
    <w:p>
      <w:pPr>
        <w:pStyle w:val="NormalWeb"/>
        <w:rPr>
          <w:rFonts w:ascii="Times New Roman" w:hAnsi="Times New Roman" w:cs="Times New Roman"/>
        </w:rPr>
      </w:pPr>
      <w:hyperlink r:id="rId7">
        <w:r>
          <w:rPr>
            <w:rStyle w:val="Hyperlink"/>
            <w:rFonts w:cs="Times New Roman" w:ascii="Times New Roman" w:hAnsi="Times New Roman"/>
            <w:b/>
            <w:bCs/>
            <w:u w:val="none"/>
          </w:rPr>
          <w:t>Division of Enforcement</w:t>
        </w:r>
      </w:hyperlink>
    </w:p>
    <w:p>
      <w:pPr>
        <w:pStyle w:val="NormalWeb"/>
        <w:rPr>
          <w:rFonts w:ascii="Times New Roman" w:hAnsi="Times New Roman" w:cs="Times New Roman"/>
        </w:rPr>
      </w:pPr>
      <w:r>
        <w:rPr>
          <w:rFonts w:cs="Times New Roman" w:ascii="Times New Roman" w:hAnsi="Times New Roman"/>
        </w:rPr>
        <w:t xml:space="preserve">The Division of Enforcement (Division) investigates and prosecutes alleged violations of the Commodity Exchange Act and CFTC regulations. Violations may involve commodity futures or option trading on domestic commodity exchanges, or the improper marketing of commodity investments. The Division may, at the direction of the Commission, file complaints before the agency's administrative law judges or in the U.S. District Courts. Alleged criminal violations of the Commodity Exchange Act or violations of other Federal laws which involve commodity futures trading may be referred to the Justice Department for prosecution. The Division also provides expert help and technical assistance with case development and trials to U.S. Attorneys Offices, other federal and state regulators, and international authorities. </w:t>
      </w:r>
    </w:p>
    <w:p>
      <w:pPr>
        <w:pStyle w:val="NormalWeb"/>
        <w:rPr>
          <w:rFonts w:ascii="Times New Roman" w:hAnsi="Times New Roman" w:cs="Times New Roman"/>
        </w:rPr>
      </w:pPr>
      <w:hyperlink r:id="rId8">
        <w:r>
          <w:rPr>
            <w:rStyle w:val="Hyperlink"/>
            <w:rFonts w:cs="Times New Roman" w:ascii="Times New Roman" w:hAnsi="Times New Roman"/>
            <w:b/>
            <w:bCs/>
            <w:u w:val="none"/>
          </w:rPr>
          <w:t>Office of the General Counsel</w:t>
        </w:r>
      </w:hyperlink>
    </w:p>
    <w:p>
      <w:pPr>
        <w:pStyle w:val="NormalWeb"/>
        <w:rPr>
          <w:rFonts w:ascii="Times New Roman" w:hAnsi="Times New Roman" w:cs="Times New Roman"/>
        </w:rPr>
      </w:pPr>
      <w:r>
        <w:rPr>
          <w:rFonts w:cs="Times New Roman" w:ascii="Times New Roman" w:hAnsi="Times New Roman"/>
        </w:rPr>
        <w:t xml:space="preserve">The Office of the General Counsel (OGC) is the Commission's legal advisor. OGC staff represent the Commission in appellate litigation and certain trial-level cases, including bankruptcy proceedings which involve futures industry professionals. As legal advisor, OGC reviews all substantive regulatory, legislative, and administrative matters presented to the Commission and advises the Commission on the application and interpretation of the Commodity Exchange Act and other administrative statutes. OGC also assists the Commission in performing its adjudicatory functions. </w:t>
      </w:r>
    </w:p>
    <w:p>
      <w:pPr>
        <w:pStyle w:val="NormalWeb"/>
        <w:rPr>
          <w:rFonts w:ascii="Times New Roman" w:hAnsi="Times New Roman" w:cs="Times New Roman"/>
        </w:rPr>
      </w:pPr>
      <w:hyperlink r:id="rId9">
        <w:r>
          <w:rPr>
            <w:rStyle w:val="Hyperlink"/>
            <w:rFonts w:cs="Times New Roman" w:ascii="Times New Roman" w:hAnsi="Times New Roman"/>
            <w:b/>
            <w:bCs/>
            <w:u w:val="none"/>
          </w:rPr>
          <w:t>Office of the Executive Director</w:t>
        </w:r>
      </w:hyperlink>
    </w:p>
    <w:p>
      <w:pPr>
        <w:pStyle w:val="NormalWeb"/>
        <w:rPr/>
      </w:pPr>
      <w:r>
        <w:rPr>
          <w:rFonts w:cs="Times New Roman" w:ascii="Times New Roman" w:hAnsi="Times New Roman"/>
        </w:rPr>
        <w:t xml:space="preserve">The Office of the Executive Director (OED) formulates and implements the management and administrative policies and functions of the agency. OED staff formulate the agency's budget, supervise the allocation and use of agency resources, promote management controls and financial integrity, and develop and maintain the agency's automated information systems. The Office of Proceedings, which is under the administrative direction of OED, provides an inexpensive and expeditious forum for handling customer complaints against people or firms registered with NFA through its </w:t>
      </w:r>
      <w:hyperlink r:id="rId10">
        <w:r>
          <w:rPr>
            <w:rStyle w:val="Hyperlink"/>
            <w:rFonts w:cs="Times New Roman" w:ascii="Times New Roman" w:hAnsi="Times New Roman"/>
            <w:u w:val="none"/>
          </w:rPr>
          <w:t>reparations program</w:t>
        </w:r>
      </w:hyperlink>
      <w:r>
        <w:rPr>
          <w:rFonts w:cs="Times New Roman" w:ascii="Times New Roman" w:hAnsi="Times New Roman"/>
          <w:color w:val="000080"/>
        </w:rPr>
        <w:t>.</w:t>
      </w:r>
      <w:r>
        <w:rPr>
          <w:rFonts w:cs="Times New Roman" w:ascii="Times New Roman" w:hAnsi="Times New Roman"/>
        </w:rPr>
        <w:t xml:space="preserve"> The Office of Proceedings also hears and decides enforcement cases brought by the Commission. </w:t>
      </w:r>
    </w:p>
    <w:p>
      <w:pPr>
        <w:pStyle w:val="NormalWeb"/>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keepNext w:val="true"/>
      <w:keepLines/>
      <w:numPr>
        <w:ilvl w:val="2"/>
        <w:numId w:val="1"/>
      </w:numPr>
      <w:autoSpaceDE w:val="false"/>
      <w:spacing w:lineRule="atLeast" w:line="240"/>
      <w:outlineLvl w:val="2"/>
    </w:pPr>
    <w:rPr>
      <w:b/>
      <w:bCs/>
      <w:u w:val="single"/>
    </w:rPr>
  </w:style>
  <w:style w:type="character" w:styleId="DefaultParagraphFont">
    <w:name w:val="Default Paragraph Font"/>
    <w:qFormat/>
    <w:rPr/>
  </w:style>
  <w:style w:type="character" w:styleId="Hyperlink">
    <w:name w:val="Hyperlink"/>
    <w:basedOn w:val="DefaultParagraphFont"/>
    <w:rPr>
      <w:color w:val="0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fa.futures.org/" TargetMode="External"/><Relationship Id="rId3" Type="http://schemas.openxmlformats.org/officeDocument/2006/relationships/hyperlink" Target="http://www.cftc.gov/opa/commissioner.htm" TargetMode="External"/><Relationship Id="rId4" Type="http://schemas.openxmlformats.org/officeDocument/2006/relationships/hyperlink" Target="http://www.cftc.gov/oia/interhome.htm" TargetMode="External"/><Relationship Id="rId5" Type="http://schemas.openxmlformats.org/officeDocument/2006/relationships/hyperlink" Target="http://www.cftc.gov/dea/dea.html" TargetMode="External"/><Relationship Id="rId6" Type="http://schemas.openxmlformats.org/officeDocument/2006/relationships/hyperlink" Target="http://www.cftc.gov/tm/tmhome.htm" TargetMode="External"/><Relationship Id="rId7" Type="http://schemas.openxmlformats.org/officeDocument/2006/relationships/hyperlink" Target="http://www.cftc.gov/enf/index.html" TargetMode="External"/><Relationship Id="rId8" Type="http://schemas.openxmlformats.org/officeDocument/2006/relationships/hyperlink" Target="http://www.cftc.gov/ogc/index.html" TargetMode="External"/><Relationship Id="rId9" Type="http://schemas.openxmlformats.org/officeDocument/2006/relationships/hyperlink" Target="http://www.cftc.gov/oed/oedhome.htm" TargetMode="External"/><Relationship Id="rId10" Type="http://schemas.openxmlformats.org/officeDocument/2006/relationships/hyperlink" Target="http://www.cftc.gov/proc/reparations.html"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2001-03-05T11:29:00Z</dcterms:created>
  <dc:creator>clong</dc:creator>
  <dc:description/>
  <dc:language>en-CA</dc:language>
  <cp:lastModifiedBy>clong</cp:lastModifiedBy>
  <cp:lastPrinted>2001-03-05T10:47:00Z</cp:lastPrinted>
  <dcterms:modified xsi:type="dcterms:W3CDTF">2001-03-05T13:17:00Z</dcterms:modified>
  <cp:revision>2</cp:revision>
  <dc:subject/>
  <dc:title>CFTC Background</dc:title>
</cp:coreProperties>
</file>