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rFonts w:ascii="Times New Roman" w:hAnsi="Times New Roman" w:cs="Times New Roman"/>
        </w:rPr>
      </w:pPr>
      <w:r>
        <w:rPr>
          <w:rFonts w:cs="Times New Roman" w:ascii="Times New Roman" w:hAnsi="Times New Roman"/>
          <w:b/>
          <w:bCs/>
        </w:rPr>
        <w:t>Enron Corp                                   3/1/01 DRAFT</w:t>
      </w:r>
    </w:p>
    <w:p>
      <w:pPr>
        <w:pStyle w:val="NormalWeb"/>
        <w:rPr>
          <w:rFonts w:ascii="Times New Roman" w:hAnsi="Times New Roman" w:cs="Times New Roman"/>
        </w:rPr>
      </w:pPr>
      <w:r>
        <w:rPr>
          <w:rFonts w:cs="Times New Roman" w:ascii="Times New Roman" w:hAnsi="Times New Roman"/>
        </w:rPr>
        <w:t>March 1, 2001</w:t>
      </w:r>
    </w:p>
    <w:p>
      <w:pPr>
        <w:pStyle w:val="NormalWeb"/>
        <w:rPr/>
      </w:pPr>
      <w:r>
        <w:rPr>
          <w:rFonts w:cs="Times New Roman" w:ascii="Times New Roman" w:hAnsi="Times New Roman"/>
          <w:b/>
          <w:bCs/>
        </w:rPr>
        <w:t>To:</w:t>
        <w:tab/>
        <w:tab/>
      </w:r>
      <w:r>
        <w:rPr>
          <w:rFonts w:cs="Times New Roman" w:ascii="Times New Roman" w:hAnsi="Times New Roman"/>
        </w:rPr>
        <w:t>Jeff Skilling</w:t>
      </w:r>
    </w:p>
    <w:p>
      <w:pPr>
        <w:pStyle w:val="NormalWeb"/>
        <w:rPr/>
      </w:pPr>
      <w:r>
        <w:rPr>
          <w:rFonts w:cs="Times New Roman" w:ascii="Times New Roman" w:hAnsi="Times New Roman"/>
          <w:b/>
          <w:bCs/>
        </w:rPr>
        <w:t>From:</w:t>
      </w:r>
      <w:r>
        <w:rPr>
          <w:rFonts w:cs="Times New Roman" w:ascii="Times New Roman" w:hAnsi="Times New Roman"/>
        </w:rPr>
        <w:tab/>
        <w:tab/>
        <w:t>Richard Shapiro/Linda Robertson</w:t>
      </w:r>
    </w:p>
    <w:p>
      <w:pPr>
        <w:pStyle w:val="NormalWeb"/>
        <w:pBdr>
          <w:bottom w:val="single" w:sz="12" w:space="1" w:color="000000"/>
        </w:pBdr>
        <w:rPr/>
      </w:pPr>
      <w:r>
        <w:rPr>
          <w:rFonts w:cs="Times New Roman" w:ascii="Times New Roman" w:hAnsi="Times New Roman"/>
          <w:b/>
          <w:bCs/>
        </w:rPr>
        <w:t>Subject:</w:t>
        <w:tab/>
      </w:r>
      <w:r>
        <w:rPr>
          <w:rFonts w:cs="Times New Roman" w:ascii="Times New Roman" w:hAnsi="Times New Roman"/>
        </w:rPr>
        <w:t>Commodity Futures Trading Commission (CFTC)</w:t>
      </w:r>
    </w:p>
    <w:p>
      <w:pPr>
        <w:pStyle w:val="NormalWeb"/>
        <w:rPr>
          <w:rFonts w:ascii="Times New Roman" w:hAnsi="Times New Roman" w:cs="Times New Roman"/>
        </w:rPr>
      </w:pPr>
      <w:r>
        <w:rPr>
          <w:rFonts w:cs="Times New Roman" w:ascii="Times New Roman" w:hAnsi="Times New Roman"/>
        </w:rPr>
        <w:t>Interim CFTC Chairman Jim Newsome will be in Houston as a Keynote Speaker for the  International Swaps and Derivatives Association’s (ISDA) Energy Derivatives Conference.  In addition to meeting with you, Chairman Newsome will meet with Greg Whaley to discuss Enron Wholesale Services, Gary Hickerson to discuss Enron’s agriculture activities, and Mark Taylor of the legal department to discuss policy issues.  He will also see a presentation of EnronOnline.   You met Chairman Newsome when he visited Enron two years ago for a tour of the trading floor and gas control room.</w:t>
      </w:r>
    </w:p>
    <w:p>
      <w:pPr>
        <w:pStyle w:val="NormalWeb"/>
        <w:rPr>
          <w:rFonts w:ascii="Times New Roman" w:hAnsi="Times New Roman" w:cs="Times New Roman"/>
          <w:b/>
          <w:bCs/>
          <w:u w:val="single"/>
        </w:rPr>
      </w:pPr>
      <w:r>
        <w:rPr>
          <w:rFonts w:cs="Times New Roman" w:ascii="Times New Roman" w:hAnsi="Times New Roman"/>
          <w:b/>
          <w:bCs/>
          <w:u w:val="single"/>
        </w:rPr>
        <w:t>Talking Points:</w:t>
      </w:r>
    </w:p>
    <w:p>
      <w:pPr>
        <w:pStyle w:val="NormalWeb"/>
        <w:rPr>
          <w:rFonts w:ascii="Times New Roman" w:hAnsi="Times New Roman" w:cs="Times New Roman"/>
        </w:rPr>
      </w:pPr>
      <w:r>
        <w:rPr>
          <w:rFonts w:cs="Times New Roman" w:ascii="Times New Roman" w:hAnsi="Times New Roman"/>
        </w:rPr>
        <w:t>Newsome is very interested in hearing more about Enron’s vision and trends in the industry.  In addition, the following points should be made to Chairman Newsome:</w:t>
      </w:r>
    </w:p>
    <w:p>
      <w:pPr>
        <w:pStyle w:val="NormalWeb"/>
        <w:numPr>
          <w:ilvl w:val="0"/>
          <w:numId w:val="2"/>
        </w:numPr>
        <w:rPr>
          <w:rFonts w:ascii="Times New Roman" w:hAnsi="Times New Roman" w:cs="Times New Roman"/>
          <w:b/>
          <w:bCs/>
        </w:rPr>
      </w:pPr>
      <w:r>
        <w:rPr>
          <w:rFonts w:cs="Times New Roman" w:ascii="Times New Roman" w:hAnsi="Times New Roman"/>
        </w:rPr>
        <w:t xml:space="preserve">Thank you for your diligent work on the Commodities Future Modernization Act of 2000. The passage of this landmark legislation was strongly supported by Enron and we appreciative the efforts of you and your colleagues on behalf of our interests. </w:t>
      </w:r>
    </w:p>
    <w:p>
      <w:pPr>
        <w:pStyle w:val="NormalWeb"/>
        <w:numPr>
          <w:ilvl w:val="0"/>
          <w:numId w:val="2"/>
        </w:numPr>
        <w:rPr>
          <w:rFonts w:ascii="Times New Roman" w:hAnsi="Times New Roman" w:cs="Times New Roman"/>
          <w:b/>
          <w:bCs/>
        </w:rPr>
      </w:pPr>
      <w:r>
        <w:rPr>
          <w:rFonts w:cs="Times New Roman" w:ascii="Times New Roman" w:hAnsi="Times New Roman"/>
        </w:rPr>
        <w:t>The US over-the-counter (OTC) derivatives industry and Enron’s business has prospered because relaxed regulatory regimes have allowed innovation in the industry. Enron’s derivative products have evolved from natural gas and electricity contracts to complex weather and broadband products largely because the lack of restrictive regulations.</w:t>
      </w:r>
    </w:p>
    <w:p>
      <w:pPr>
        <w:pStyle w:val="NormalWeb"/>
        <w:numPr>
          <w:ilvl w:val="0"/>
          <w:numId w:val="3"/>
        </w:numPr>
        <w:rPr>
          <w:rFonts w:ascii="Times New Roman" w:hAnsi="Times New Roman" w:cs="Times New Roman"/>
        </w:rPr>
      </w:pPr>
      <w:r>
        <w:rPr>
          <w:rFonts w:cs="Times New Roman" w:ascii="Times New Roman" w:hAnsi="Times New Roman"/>
        </w:rPr>
        <w:t xml:space="preserve">Enron has changed dramatically in the two years since you first visited Enron.  It is well known that Enron prefers to operate in deregulated environments.  We appreciate the flexibility the CFTC has allowed in the past for innovations in our industry.  I hope that as Enron’s business plans evolve, the CFTC will continue to promote innovation in the markets. </w:t>
      </w:r>
    </w:p>
    <w:p>
      <w:pPr>
        <w:pStyle w:val="NormalWeb"/>
        <w:numPr>
          <w:ilvl w:val="0"/>
          <w:numId w:val="3"/>
        </w:numPr>
        <w:rPr>
          <w:rFonts w:ascii="Times New Roman" w:hAnsi="Times New Roman" w:cs="Times New Roman"/>
        </w:rPr>
      </w:pPr>
      <w:r>
        <w:rPr>
          <w:rFonts w:cs="Times New Roman" w:ascii="Times New Roman" w:hAnsi="Times New Roman"/>
        </w:rPr>
        <w:t>I appreciate your efforts on behalf of the energy industry and we support your desire to be the permanent Chair of the CFTC. We will make our support known to the appropriate Administration officials.</w:t>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b/>
          <w:bCs/>
          <w:u w:val="single"/>
        </w:rPr>
      </w:pPr>
      <w:r>
        <w:rPr>
          <w:rFonts w:cs="Times New Roman" w:ascii="Times New Roman" w:hAnsi="Times New Roman"/>
          <w:b/>
          <w:bCs/>
          <w:u w:val="single"/>
        </w:rPr>
        <w:t>Chairman Jim Newsome</w:t>
      </w:r>
    </w:p>
    <w:p>
      <w:pPr>
        <w:pStyle w:val="NormalWeb"/>
        <w:rPr>
          <w:rFonts w:ascii="Times New Roman" w:hAnsi="Times New Roman" w:cs="Times New Roman"/>
        </w:rPr>
      </w:pPr>
      <w:r>
        <w:rPr>
          <w:rFonts w:cs="Times New Roman" w:ascii="Times New Roman" w:hAnsi="Times New Roman"/>
        </w:rPr>
        <w:t>The  Senate confirmed James E. Newsome on July 31, 1998, to serve as a Commissioner of the Commodity Futures Trading Commission (CFTC). He was sworn in August 10, 1998, to a term expiring in June 2001. On January 5, 2001, he was elected by Commission order to serve as Acting Chairman effective close-of-business January 19, 2001.</w:t>
      </w:r>
    </w:p>
    <w:p>
      <w:pPr>
        <w:pStyle w:val="NormalWeb"/>
        <w:rPr>
          <w:rFonts w:ascii="Times New Roman" w:hAnsi="Times New Roman" w:cs="Times New Roman"/>
        </w:rPr>
      </w:pPr>
      <w:r>
        <w:rPr>
          <w:rFonts w:cs="Times New Roman" w:ascii="Times New Roman" w:hAnsi="Times New Roman"/>
        </w:rPr>
        <w:t xml:space="preserve">Prior to joining the CFTC, Mr. Newsome served nine years as Executive Vice-President of the Mississippi Cattlemen’s Association and Beef Council. Additionally, he served as Chairman of the Mississippi Agribusiness Council, which is devoted to the development of domestic and international agribusiness opportunities within the state of Mississippi. </w:t>
      </w:r>
    </w:p>
    <w:p>
      <w:pPr>
        <w:pStyle w:val="NormalWeb"/>
        <w:rPr>
          <w:rFonts w:ascii="Times New Roman" w:hAnsi="Times New Roman" w:cs="Times New Roman"/>
        </w:rPr>
      </w:pPr>
      <w:r>
        <w:rPr>
          <w:rFonts w:cs="Times New Roman" w:ascii="Times New Roman" w:hAnsi="Times New Roman"/>
        </w:rPr>
        <w:t xml:space="preserve">His involvement in agriculture led to his association with numerous organizations in both Mississippi and his home state of Florida. Mr. Newsome has served as President of the Association of Mississippi Agriculture Organizations; as a member of the Governor’s Task Force on the Future of Mississippi Agriculture and the Governor’s Task Force on the Future of Florida’s Small Farms; as a Delegate to the National Council for Agriculture Research, Extension and Teaching; as President of the Florida Future Farmers of America; and as President of the University of Florida Agriculture Council. </w:t>
      </w:r>
    </w:p>
    <w:p>
      <w:pPr>
        <w:pStyle w:val="NormalWeb"/>
        <w:rPr>
          <w:rFonts w:ascii="Times New Roman" w:hAnsi="Times New Roman" w:cs="Times New Roman"/>
        </w:rPr>
      </w:pPr>
      <w:r>
        <w:rPr>
          <w:rFonts w:cs="Times New Roman" w:ascii="Times New Roman" w:hAnsi="Times New Roman"/>
        </w:rPr>
        <w:t>Since joining the Commission, Mr. Newsome has been very active in industry meetings and activities and has served as Chairman of the CFTC's Technology Advisory Committee. His conservative approach to Commission responsibilities has been open and inclusive and has contributed to major regulatory reform of U.S. futures and derivatives markets.</w:t>
      </w:r>
    </w:p>
    <w:p>
      <w:pPr>
        <w:pStyle w:val="NormalWeb"/>
        <w:rPr>
          <w:rFonts w:ascii="Times New Roman" w:hAnsi="Times New Roman" w:cs="Times New Roman"/>
        </w:rPr>
      </w:pPr>
      <w:r>
        <w:rPr>
          <w:rFonts w:cs="Times New Roman" w:ascii="Times New Roman" w:hAnsi="Times New Roman"/>
        </w:rPr>
        <w:t xml:space="preserve">A native of Plant City, Florida, Mr. Newsome received his B.S. degree in Food and Resource Economics from the University of Florida in 1982, and his M.S. degree in Agriculture from Mississippi State University in 1985. He is married to the former Mary Margaret Pomeroy of Carmel Valley, California and they have two daughters. </w:t>
      </w:r>
    </w:p>
    <w:p>
      <w:pPr>
        <w:pStyle w:val="NormalWeb"/>
        <w:rPr>
          <w:rFonts w:ascii="Times New Roman" w:hAnsi="Times New Roman" w:cs="Times New Roman"/>
          <w:color w:val="000000"/>
          <w:szCs w:val="20"/>
        </w:rPr>
      </w:pPr>
      <w:r>
        <w:rPr>
          <w:rFonts w:cs="Times New Roman" w:ascii="Times New Roman" w:hAnsi="Times New Roman"/>
          <w:color w:val="000000"/>
          <w:szCs w:val="20"/>
        </w:rPr>
      </w:r>
    </w:p>
    <w:p>
      <w:pPr>
        <w:pStyle w:val="NormalWeb"/>
        <w:rPr>
          <w:rFonts w:ascii="Times New Roman" w:hAnsi="Times New Roman" w:cs="Times New Roman"/>
          <w:color w:val="000000"/>
          <w:szCs w:val="20"/>
        </w:rPr>
      </w:pPr>
      <w:r>
        <w:rPr>
          <w:rFonts w:cs="Times New Roman" w:ascii="Times New Roman" w:hAnsi="Times New Roman"/>
          <w:color w:val="000000"/>
          <w:szCs w:val="20"/>
        </w:rPr>
      </w:r>
    </w:p>
    <w:p>
      <w:pPr>
        <w:pStyle w:val="Heading1"/>
        <w:ind w:hanging="0" w:start="0"/>
        <w:rPr>
          <w:u w:val="single"/>
        </w:rPr>
      </w:pPr>
      <w:r>
        <w:rPr>
          <w:u w:val="single"/>
        </w:rPr>
        <w:t>Political Situation at the CTFC</w:t>
      </w:r>
    </w:p>
    <w:p>
      <w:pPr>
        <w:pStyle w:val="Normal"/>
        <w:keepLines/>
        <w:autoSpaceDE w:val="false"/>
        <w:spacing w:lineRule="atLeast" w:line="240"/>
        <w:rPr>
          <w:color w:val="000000"/>
          <w:szCs w:val="20"/>
          <w:u w:val="single"/>
        </w:rPr>
      </w:pPr>
      <w:r>
        <w:rPr>
          <w:color w:val="000000"/>
          <w:szCs w:val="20"/>
          <w:u w:val="single"/>
        </w:rPr>
      </w:r>
    </w:p>
    <w:p>
      <w:pPr>
        <w:pStyle w:val="Normal"/>
        <w:keepLines/>
        <w:autoSpaceDE w:val="false"/>
        <w:spacing w:lineRule="atLeast" w:line="240"/>
        <w:rPr>
          <w:color w:val="000000"/>
          <w:szCs w:val="20"/>
        </w:rPr>
      </w:pPr>
      <w:r>
        <w:rPr>
          <w:color w:val="000000"/>
          <w:szCs w:val="20"/>
        </w:rPr>
        <w:t>Jim Newsome was appointed in 1998 to term, which expires in June 2001.  Interim Chairman Newsome would like his appointment to be made permanent by President Bush.</w:t>
      </w:r>
    </w:p>
    <w:p>
      <w:pPr>
        <w:pStyle w:val="Normal"/>
        <w:keepLines/>
        <w:autoSpaceDE w:val="false"/>
        <w:spacing w:lineRule="atLeast" w:line="240"/>
        <w:ind w:start="60" w:end="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 xml:space="preserve">The CFTC has 5 Commissioners.   Commissioners Newsome and Spears are Republicans and Commissioners Erickson and Holum are Democrats,with one opening.  If Newsome becomes the Chair, then there will be two open seats.  If Newsome is passed over, there will only be open seat. </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Commissioner Newsome has the support of Majority Trent Lott.  He is well liked in industry because of his free market philosophy and belief in competition and deregulation.  While not a technical expert, he is a "known quantity" at the Commission.  Chairman Newsome played a major role in the Commodities Futures Modernization Act (CFMA) which became law last Congress. Newsome regularly consults industry before regulations are issued.  Industry generally believes that Chairman Newsome is the right candidate to oversee the CFMA rulemaking, which is currently underway.</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pPr>
      <w:r>
        <w:rPr/>
        <w:t>The other candidate for the position was former North Carolina Senator Lauch Faircloth whose nomination was being championed by Senator Phil Gramm (R-TX).  We have learned that Senator Faircloth has lost interest, because he would have to divest sizeable interest in agriculture holdings.  The concern now is that because this is a third tier appointment, unknown candidates will suddenly appear without industry input.  Many in the industry recommend a quick nomination and confirmation of Commissioner Newsome as Chairman.</w:t>
      </w:r>
    </w:p>
    <w:p>
      <w:pPr>
        <w:pStyle w:val="Normal"/>
        <w:keepLines/>
        <w:autoSpaceDE w:val="false"/>
        <w:spacing w:lineRule="atLeast" w:line="240"/>
        <w:rPr/>
      </w:pPr>
      <w:r>
        <w:rPr/>
      </w:r>
    </w:p>
    <w:p>
      <w:pPr>
        <w:pStyle w:val="Normal"/>
        <w:keepLines/>
        <w:autoSpaceDE w:val="false"/>
        <w:spacing w:lineRule="atLeast" w:line="240"/>
        <w:rPr/>
      </w:pPr>
      <w:r>
        <w:rPr/>
        <w:t>We support Newsome’s nomination as Chair of theCFTC.</w:t>
      </w:r>
    </w:p>
    <w:p>
      <w:pPr>
        <w:pStyle w:val="Normal"/>
        <w:keepLines/>
        <w:autoSpaceDE w:val="false"/>
        <w:spacing w:lineRule="atLeast" w:line="240"/>
        <w:rPr/>
      </w:pPr>
      <w:r>
        <w:rPr/>
      </w:r>
    </w:p>
    <w:p>
      <w:pPr>
        <w:pStyle w:val="Heading3"/>
        <w:ind w:hanging="0" w:start="0"/>
        <w:rPr/>
      </w:pPr>
      <w:r>
        <w:rPr/>
        <w:t>CFTC Background</w:t>
      </w:r>
    </w:p>
    <w:p>
      <w:pPr>
        <w:pStyle w:val="NormalWeb"/>
        <w:rPr>
          <w:rFonts w:ascii="Times New Roman" w:hAnsi="Times New Roman" w:cs="Times New Roman"/>
          <w:szCs w:val="20"/>
        </w:rPr>
      </w:pPr>
      <w:r>
        <w:rPr>
          <w:rFonts w:cs="Times New Roman" w:ascii="Times New Roman" w:hAnsi="Times New Roman"/>
        </w:rPr>
        <w:t xml:space="preserve">Congress created the Commodity Futures Trading Commission (CFTC) in 1974 as an independent agency with the mandate to regulate commodity futures and option markets in the United States. The agency protects market participants against manipulation, abusive trade practices and fraud. Through effective oversight and regulation, the CFTC enables the markets to serve better their important functions in the nation's economy--providing a mechanism for price discovery and a means of offsetting price risk. </w:t>
      </w:r>
    </w:p>
    <w:p>
      <w:pPr>
        <w:pStyle w:val="NormalWeb"/>
        <w:rPr>
          <w:rFonts w:ascii="Times New Roman" w:hAnsi="Times New Roman" w:cs="Times New Roman"/>
        </w:rPr>
      </w:pPr>
      <w:r>
        <w:rPr>
          <w:rFonts w:cs="Times New Roman" w:ascii="Times New Roman" w:hAnsi="Times New Roman"/>
          <w:b/>
          <w:bCs/>
          <w:i/>
          <w:iCs/>
          <w:color w:val="000080"/>
          <w:szCs w:val="36"/>
        </w:rPr>
        <w:t>Who Uses Futures and Options Markets?</w:t>
      </w:r>
    </w:p>
    <w:p>
      <w:pPr>
        <w:pStyle w:val="NormalWeb"/>
        <w:rPr>
          <w:rFonts w:ascii="Times New Roman" w:hAnsi="Times New Roman" w:cs="Times New Roman"/>
        </w:rPr>
      </w:pPr>
      <w:r>
        <w:rPr>
          <w:rFonts w:cs="Times New Roman" w:ascii="Times New Roman" w:hAnsi="Times New Roman"/>
        </w:rPr>
        <w:t xml:space="preserve">Most of the participants in the futures and option markets are commercial or institutional users of the commodities they trade. These users, most of whom are called "hedgers," want the value of their assets to increase and also want to limit, if possible, any loss in value. Hedgers may use the commodity markets to take a position, which will reduce the risk of financial loss in their assets due to a change in price. Other participants are "speculators" who hope to profit from changes in the price of the futures or option contract. </w:t>
      </w:r>
    </w:p>
    <w:p>
      <w:pPr>
        <w:pStyle w:val="NormalWeb"/>
        <w:rPr>
          <w:rFonts w:ascii="Times New Roman" w:hAnsi="Times New Roman" w:cs="Times New Roman"/>
        </w:rPr>
      </w:pPr>
      <w:r>
        <w:rPr>
          <w:rFonts w:cs="Times New Roman" w:ascii="Times New Roman" w:hAnsi="Times New Roman"/>
          <w:b/>
          <w:bCs/>
          <w:i/>
          <w:iCs/>
          <w:color w:val="000080"/>
          <w:szCs w:val="36"/>
        </w:rPr>
        <w:t>CFTC's Responsibilities to the Markets and Their Users</w:t>
      </w:r>
    </w:p>
    <w:p>
      <w:pPr>
        <w:pStyle w:val="NormalWeb"/>
        <w:rPr/>
      </w:pPr>
      <w:r>
        <w:rPr>
          <w:rFonts w:cs="Times New Roman" w:ascii="Times New Roman" w:hAnsi="Times New Roman"/>
          <w:b/>
          <w:bCs/>
          <w:color w:val="000080"/>
          <w:szCs w:val="27"/>
        </w:rPr>
        <w:t>Contract Review and Market Surveillance:</w:t>
      </w:r>
      <w:r>
        <w:rPr>
          <w:rFonts w:cs="Times New Roman" w:ascii="Times New Roman" w:hAnsi="Times New Roman"/>
        </w:rPr>
        <w:t xml:space="preserve">  To ensure the financial and market integrity of the nation's futures markets, the CFTC reviews the terms and conditions of proposed futures and option contracts. Before an exchange is permitted to trade a futures and option contract in a specific commodity, it must demonstrate that the contract reflects the normal market flow and commercial trading practices in the actual commodity. The Commission conducts daily market surveillance and can, in an emergency, order an exchange to take specific action or to restore orderliness in any futures contract that is being traded. </w:t>
      </w:r>
    </w:p>
    <w:p>
      <w:pPr>
        <w:pStyle w:val="NormalWeb"/>
        <w:rPr/>
      </w:pPr>
      <w:r>
        <w:rPr>
          <w:rFonts w:cs="Times New Roman" w:ascii="Times New Roman" w:hAnsi="Times New Roman"/>
          <w:b/>
          <w:bCs/>
          <w:color w:val="000080"/>
          <w:szCs w:val="27"/>
        </w:rPr>
        <w:t xml:space="preserve">Regulation of Futures Professionals:  </w:t>
      </w:r>
      <w:r>
        <w:rPr>
          <w:rFonts w:cs="Times New Roman" w:ascii="Times New Roman" w:hAnsi="Times New Roman"/>
        </w:rPr>
        <w:t xml:space="preserve">Companies and individuals who handle customer funds or give trading advice must apply for registration through the </w:t>
      </w:r>
      <w:hyperlink r:id="rId2">
        <w:r>
          <w:rPr>
            <w:rStyle w:val="Hyperlink"/>
            <w:rFonts w:cs="Times New Roman" w:ascii="Times New Roman" w:hAnsi="Times New Roman"/>
            <w:u w:val="none"/>
          </w:rPr>
          <w:t>National Futures Association</w:t>
        </w:r>
      </w:hyperlink>
      <w:r>
        <w:rPr>
          <w:rFonts w:cs="Times New Roman" w:ascii="Times New Roman" w:hAnsi="Times New Roman"/>
        </w:rPr>
        <w:t xml:space="preserve"> (NFA), a self-regulatory organization approved by the Commission. The CFTC also seeks to protect customers by requiring registrants to disclose market risks and past performance information to prospective customers, by requiring that customer funds be kept in accounts separate from those maintained by the firm for its own use, and by requiring customer accounts to be adjusted to reflect the current market value at the close of trading each day. In addition, the CFTC monitors registrant supervision systems, internal controls and sales practice compliance programs. Further, all registrants are required to complete ethics training. </w:t>
      </w:r>
    </w:p>
    <w:p>
      <w:pPr>
        <w:pStyle w:val="NormalWeb"/>
        <w:rPr>
          <w:rFonts w:ascii="Times New Roman" w:hAnsi="Times New Roman" w:cs="Times New Roman"/>
        </w:rPr>
      </w:pPr>
      <w:r>
        <w:rPr>
          <w:rFonts w:cs="Times New Roman" w:ascii="Times New Roman" w:hAnsi="Times New Roman"/>
        </w:rPr>
        <w:t xml:space="preserve">Commodity exchanges complement Federal regulation with rules of their own — rules covering clearance of trades, trade orders and records, position limits, price limits, disciplinary actions, floor trading practices and standards of business conduct. A new or amended exchange rule may be implemented only upon approval by the CFTC, which may also direct an exchange to change its rules or practices. The CFTC also regularly audits each exchange’s compliance program. </w:t>
      </w:r>
    </w:p>
    <w:p>
      <w:pPr>
        <w:pStyle w:val="NormalWeb"/>
        <w:rPr>
          <w:rFonts w:ascii="Times New Roman" w:hAnsi="Times New Roman" w:cs="Times New Roman"/>
        </w:rPr>
      </w:pPr>
      <w:r>
        <w:rPr>
          <w:rFonts w:cs="Times New Roman" w:ascii="Times New Roman" w:hAnsi="Times New Roman"/>
          <w:b/>
          <w:bCs/>
          <w:i/>
          <w:iCs/>
          <w:color w:val="000080"/>
          <w:szCs w:val="36"/>
        </w:rPr>
        <w:t>How the CFTC is Organized</w:t>
      </w:r>
      <w:r>
        <w:rPr>
          <w:rFonts w:cs="Times New Roman" w:ascii="Times New Roman" w:hAnsi="Times New Roman"/>
          <w:color w:val="000080"/>
          <w:szCs w:val="27"/>
        </w:rPr>
        <w:t xml:space="preserve"> </w:t>
      </w:r>
    </w:p>
    <w:p>
      <w:pPr>
        <w:pStyle w:val="NormalWeb"/>
        <w:rPr>
          <w:rFonts w:ascii="Times New Roman" w:hAnsi="Times New Roman" w:cs="Times New Roman"/>
          <w:b/>
          <w:bCs/>
          <w:i/>
          <w:i/>
          <w:iCs/>
          <w:color w:val="000080"/>
          <w:szCs w:val="27"/>
        </w:rPr>
      </w:pPr>
      <w:r>
        <w:rPr>
          <w:rFonts w:cs="Times New Roman" w:ascii="Times New Roman" w:hAnsi="Times New Roman"/>
          <w:b/>
          <w:bCs/>
          <w:i/>
          <w:iCs/>
          <w:color w:val="000080"/>
          <w:szCs w:val="27"/>
        </w:rPr>
        <w:t>Commissioners</w:t>
      </w:r>
    </w:p>
    <w:p>
      <w:pPr>
        <w:pStyle w:val="NormalWeb"/>
        <w:rPr>
          <w:rFonts w:ascii="Times New Roman" w:hAnsi="Times New Roman" w:cs="Times New Roman"/>
          <w:color w:val="0000FF"/>
        </w:rPr>
      </w:pPr>
      <w:r>
        <w:rPr>
          <w:rFonts w:cs="Times New Roman" w:ascii="Times New Roman" w:hAnsi="Times New Roman"/>
        </w:rPr>
        <w:t xml:space="preserve">The Commission consists of </w:t>
      </w:r>
      <w:hyperlink r:id="rId3">
        <w:r>
          <w:rPr>
            <w:rStyle w:val="Hyperlink"/>
            <w:rFonts w:cs="Times New Roman" w:ascii="Times New Roman" w:hAnsi="Times New Roman"/>
            <w:u w:val="none"/>
          </w:rPr>
          <w:t>five Commissioners</w:t>
        </w:r>
      </w:hyperlink>
      <w:r>
        <w:rPr>
          <w:rFonts w:cs="Times New Roman" w:ascii="Times New Roman" w:hAnsi="Times New Roman"/>
        </w:rPr>
        <w:t xml:space="preserve">, appointed by the President with the advice and consent of the Senate to serve staggered five-year terms. The Commission develops and implements agency policy and direction. One of the Commissioners is designated by the President to serve as Chairperson. The Chairperson's staff has direct responsibility for providing information about the Commission to the public and interacting with other governmental agencies and the Congress, as well as the preparation and dissemination of Commission documents. The Chairperson's staff also ensures that the Commission is responsive to requests filed under the Freedom of Information Act. The Chairperson's staff also includes the Office of the Inspector General, which conducts audits of CFTC programs and operations, and the </w:t>
      </w:r>
      <w:hyperlink r:id="rId4">
        <w:r>
          <w:rPr>
            <w:rStyle w:val="Hyperlink"/>
            <w:rFonts w:cs="Times New Roman" w:ascii="Times New Roman" w:hAnsi="Times New Roman"/>
            <w:u w:val="none"/>
          </w:rPr>
          <w:t>Office of International Affairs</w:t>
        </w:r>
      </w:hyperlink>
      <w:r>
        <w:rPr>
          <w:rFonts w:cs="Times New Roman" w:ascii="Times New Roman" w:hAnsi="Times New Roman"/>
          <w:color w:val="000080"/>
        </w:rPr>
        <w:t>,</w:t>
      </w:r>
      <w:r>
        <w:rPr>
          <w:rFonts w:cs="Times New Roman" w:ascii="Times New Roman" w:hAnsi="Times New Roman"/>
        </w:rPr>
        <w:t xml:space="preserve"> which is the focal point for the Commission's global regulatory coordination efforts. </w:t>
      </w:r>
    </w:p>
    <w:p>
      <w:pPr>
        <w:pStyle w:val="NormalWeb"/>
        <w:rPr>
          <w:rFonts w:ascii="Times New Roman" w:hAnsi="Times New Roman" w:cs="Times New Roman"/>
        </w:rPr>
      </w:pPr>
      <w:r>
        <w:rPr>
          <w:rFonts w:cs="Times New Roman" w:ascii="Times New Roman" w:hAnsi="Times New Roman"/>
        </w:rPr>
        <w:t xml:space="preserve">Major policy decisions and Commission actions, such as approval of exchange designations, adoption of agency rules and regulations, and the authorization of enforcement actions, must be approved by a majority vote of the Commissioners. Most Commission meetings are open to the public. Information on Commission meetings can be obtained from the Commission's Office of Public Affairs or the CFTC's home page on the World Wide Web. </w:t>
      </w:r>
    </w:p>
    <w:p>
      <w:pPr>
        <w:pStyle w:val="NormalWeb"/>
        <w:rPr>
          <w:rFonts w:ascii="Times New Roman" w:hAnsi="Times New Roman" w:cs="Times New Roman"/>
        </w:rPr>
      </w:pPr>
      <w:r>
        <w:rPr>
          <w:rFonts w:cs="Times New Roman" w:ascii="Times New Roman" w:hAnsi="Times New Roman"/>
        </w:rPr>
        <w:t xml:space="preserve">The CFTC monitors markets and market participants closely by maintaining, in addition to its headquarters office in Washington, offices in cities that have futures exchanges--New York, Chicago, Kansas City and Minneapolis. For enforcement purposes, the Commission also maintains an office in Los Angeles. </w:t>
      </w:r>
    </w:p>
    <w:p>
      <w:pPr>
        <w:pStyle w:val="NormalWeb"/>
        <w:rPr>
          <w:rFonts w:ascii="Times New Roman" w:hAnsi="Times New Roman" w:cs="Times New Roman"/>
        </w:rPr>
      </w:pPr>
      <w:r>
        <w:rPr>
          <w:rFonts w:cs="Times New Roman" w:ascii="Times New Roman" w:hAnsi="Times New Roman"/>
          <w:b/>
          <w:bCs/>
          <w:i/>
          <w:iCs/>
          <w:color w:val="000080"/>
          <w:szCs w:val="36"/>
        </w:rPr>
        <w:t>Operating Units</w:t>
      </w:r>
      <w:r>
        <w:rPr>
          <w:rFonts w:cs="Times New Roman" w:ascii="Times New Roman" w:hAnsi="Times New Roman"/>
          <w:color w:val="000080"/>
          <w:szCs w:val="27"/>
        </w:rPr>
        <w:t xml:space="preserve"> </w:t>
      </w:r>
    </w:p>
    <w:p>
      <w:pPr>
        <w:pStyle w:val="NormalWeb"/>
        <w:rPr>
          <w:rFonts w:ascii="Times New Roman" w:hAnsi="Times New Roman" w:cs="Times New Roman"/>
        </w:rPr>
      </w:pPr>
      <w:r>
        <w:rPr>
          <w:rFonts w:cs="Times New Roman" w:ascii="Times New Roman" w:hAnsi="Times New Roman"/>
        </w:rPr>
        <w:t xml:space="preserve">The Commission has five major operating units: the Division of Economic Analysis, the Division of Trading and Markets, the Division of Enforcement, the Office of the General Counsel, and the Office of the Executive Director. </w:t>
      </w:r>
    </w:p>
    <w:p>
      <w:pPr>
        <w:pStyle w:val="NormalWeb"/>
        <w:rPr>
          <w:rFonts w:ascii="Times New Roman" w:hAnsi="Times New Roman" w:cs="Times New Roman"/>
        </w:rPr>
      </w:pPr>
      <w:hyperlink r:id="rId5">
        <w:r>
          <w:rPr>
            <w:rStyle w:val="Hyperlink"/>
            <w:rFonts w:cs="Times New Roman" w:ascii="Times New Roman" w:hAnsi="Times New Roman"/>
            <w:b/>
            <w:bCs/>
            <w:u w:val="none"/>
          </w:rPr>
          <w:t>Division of Economic Analysis</w:t>
        </w:r>
      </w:hyperlink>
      <w:r>
        <w:rPr>
          <w:rFonts w:cs="Times New Roman" w:ascii="Times New Roman" w:hAnsi="Times New Roman"/>
          <w:color w:val="000080"/>
        </w:rPr>
        <w:t xml:space="preserve"> </w:t>
      </w:r>
    </w:p>
    <w:p>
      <w:pPr>
        <w:pStyle w:val="NormalWeb"/>
        <w:rPr>
          <w:rFonts w:ascii="Times New Roman" w:hAnsi="Times New Roman" w:cs="Times New Roman"/>
        </w:rPr>
      </w:pPr>
      <w:r>
        <w:rPr>
          <w:rFonts w:cs="Times New Roman" w:ascii="Times New Roman" w:hAnsi="Times New Roman"/>
        </w:rPr>
        <w:t xml:space="preserve">The purpose of the Division of Economic Analysis (DEA) is to ensure that markets remain competitive and responsive to underlying supply and demand factors by detecting and protecting against price manipulation. DEA conducts daily market surveillance to detect actual or potential manipulations, congestion, or price distortion. DEA also reviews applications for new futures and option contracts and changes to existing contracts to ensure that the terms and conditions conform to cash market practices. In addition, DEA provides economic analyses for enforcement investigations and expert testimony for litigation, and conducts research on market issues. </w:t>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hyperlink r:id="rId6">
        <w:r>
          <w:rPr>
            <w:rStyle w:val="Hyperlink"/>
            <w:rFonts w:cs="Times New Roman" w:ascii="Times New Roman" w:hAnsi="Times New Roman"/>
            <w:b/>
            <w:bCs/>
            <w:u w:val="none"/>
          </w:rPr>
          <w:t>Division of Trading and Markets</w:t>
        </w:r>
      </w:hyperlink>
    </w:p>
    <w:p>
      <w:pPr>
        <w:pStyle w:val="NormalWeb"/>
        <w:rPr>
          <w:rFonts w:ascii="Times New Roman" w:hAnsi="Times New Roman" w:cs="Times New Roman"/>
        </w:rPr>
      </w:pPr>
      <w:r>
        <w:rPr>
          <w:rFonts w:cs="Times New Roman" w:ascii="Times New Roman" w:hAnsi="Times New Roman"/>
        </w:rPr>
        <w:t xml:space="preserve">The Division of Trading and Markets (T&amp;M) oversees the compliance activities of the commodity exchanges and the National Futures Association (NFA). T&amp;M conducts trade practice surveillance and performs financial and sales practice audits of selected registrants. T&amp;M reviews exchange applications to trade new futures and option contracts, considers exchange and NFA rule submissions or amendments, and oversees the ethics training of industry professionals. T&amp;M drafts Commission regulations, which govern the operation of all exchanges and the NFA. Regulations drafted by T&amp;M define the requirements for registration, disclosure, minimum financial standards, segregation of customer funds, supervision and internal controls, and other activities of regulated entities. T&amp;M also serves as the focal point for the Commission's global regulatory coordination efforts and develops regulations and policies governing foreign and cross-border transactions. </w:t>
      </w:r>
    </w:p>
    <w:p>
      <w:pPr>
        <w:pStyle w:val="NormalWeb"/>
        <w:rPr>
          <w:rFonts w:ascii="Times New Roman" w:hAnsi="Times New Roman" w:cs="Times New Roman"/>
        </w:rPr>
      </w:pPr>
      <w:hyperlink r:id="rId7">
        <w:r>
          <w:rPr>
            <w:rStyle w:val="Hyperlink"/>
            <w:rFonts w:cs="Times New Roman" w:ascii="Times New Roman" w:hAnsi="Times New Roman"/>
            <w:b/>
            <w:bCs/>
            <w:u w:val="none"/>
          </w:rPr>
          <w:t>Division of Enforcement</w:t>
        </w:r>
      </w:hyperlink>
    </w:p>
    <w:p>
      <w:pPr>
        <w:pStyle w:val="NormalWeb"/>
        <w:rPr>
          <w:rFonts w:ascii="Times New Roman" w:hAnsi="Times New Roman" w:cs="Times New Roman"/>
        </w:rPr>
      </w:pPr>
      <w:r>
        <w:rPr>
          <w:rFonts w:cs="Times New Roman" w:ascii="Times New Roman" w:hAnsi="Times New Roman"/>
        </w:rPr>
        <w:t xml:space="preserve">The Division of Enforcement (Division) investigates and prosecutes alleged violations of the Commodity Exchange Act and CFTC regulations. Violations may involve commodity futures or option trading on domestic commodity exchanges, or the improper marketing of commodity investments. The Division may, at the direction of the Commission, file complaints before the agency's administrative law judges or in the U.S. District Courts. Alleged criminal violations of the Commodity Exchange Act or violations of other Federal laws which involve commodity futures trading may be referred to the Justice Department for prosecution. The Division also provides expert help and technical assistance with case development and trials to U.S. Attorneys Offices, other federal and state regulators, and international authorities. </w:t>
      </w:r>
    </w:p>
    <w:p>
      <w:pPr>
        <w:pStyle w:val="NormalWeb"/>
        <w:rPr>
          <w:rFonts w:ascii="Times New Roman" w:hAnsi="Times New Roman" w:cs="Times New Roman"/>
        </w:rPr>
      </w:pPr>
      <w:hyperlink r:id="rId8">
        <w:r>
          <w:rPr>
            <w:rStyle w:val="Hyperlink"/>
            <w:rFonts w:cs="Times New Roman" w:ascii="Times New Roman" w:hAnsi="Times New Roman"/>
            <w:b/>
            <w:bCs/>
            <w:u w:val="none"/>
          </w:rPr>
          <w:t>Office of the General Counsel</w:t>
        </w:r>
      </w:hyperlink>
    </w:p>
    <w:p>
      <w:pPr>
        <w:pStyle w:val="NormalWeb"/>
        <w:rPr>
          <w:rFonts w:ascii="Times New Roman" w:hAnsi="Times New Roman" w:cs="Times New Roman"/>
        </w:rPr>
      </w:pPr>
      <w:r>
        <w:rPr>
          <w:rFonts w:cs="Times New Roman" w:ascii="Times New Roman" w:hAnsi="Times New Roman"/>
        </w:rPr>
        <w:t xml:space="preserve">The Office of the General Counsel (OGC) is the Commission's legal advisor. OGC staff represent the Commission in appellate litigation and certain trial-level cases, including bankruptcy proceedings which involve futures industry professionals. As legal advisor, OGC reviews all substantive regulatory, legislative, and administrative matters presented to the Commission and advises the Commission on the application and interpretation of the Commodity Exchange Act and other administrative statutes. OGC also assists the Commission in performing its adjudicatory functions. </w:t>
      </w:r>
    </w:p>
    <w:p>
      <w:pPr>
        <w:pStyle w:val="NormalWeb"/>
        <w:rPr>
          <w:rFonts w:ascii="Times New Roman" w:hAnsi="Times New Roman" w:cs="Times New Roman"/>
        </w:rPr>
      </w:pPr>
      <w:hyperlink r:id="rId9">
        <w:r>
          <w:rPr>
            <w:rStyle w:val="Hyperlink"/>
            <w:rFonts w:cs="Times New Roman" w:ascii="Times New Roman" w:hAnsi="Times New Roman"/>
            <w:b/>
            <w:bCs/>
            <w:u w:val="none"/>
          </w:rPr>
          <w:t>Office of the Executive Director</w:t>
        </w:r>
      </w:hyperlink>
    </w:p>
    <w:p>
      <w:pPr>
        <w:pStyle w:val="NormalWeb"/>
        <w:rPr/>
      </w:pPr>
      <w:r>
        <w:rPr>
          <w:rFonts w:cs="Times New Roman" w:ascii="Times New Roman" w:hAnsi="Times New Roman"/>
        </w:rPr>
        <w:t xml:space="preserve">The Office of the Executive Director (OED) formulates and implements the management and administrative policies and functions of the agency. OED staff formulate the agency's budget, supervise the allocation and use of agency resources, promote management controls and financial integrity, and develop and maintain the agency's automated information systems. The Office of Proceedings, which is under the administrative direction of OED, provides an inexpensive and expeditious forum for handling customer complaints against people or firms registered with NFA through its </w:t>
      </w:r>
      <w:hyperlink r:id="rId10">
        <w:r>
          <w:rPr>
            <w:rStyle w:val="Hyperlink"/>
            <w:rFonts w:cs="Times New Roman" w:ascii="Times New Roman" w:hAnsi="Times New Roman"/>
            <w:u w:val="none"/>
          </w:rPr>
          <w:t>reparations program</w:t>
        </w:r>
      </w:hyperlink>
      <w:r>
        <w:rPr>
          <w:rFonts w:cs="Times New Roman" w:ascii="Times New Roman" w:hAnsi="Times New Roman"/>
          <w:color w:val="000080"/>
        </w:rPr>
        <w:t>.</w:t>
      </w:r>
      <w:r>
        <w:rPr>
          <w:rFonts w:cs="Times New Roman" w:ascii="Times New Roman" w:hAnsi="Times New Roman"/>
        </w:rPr>
        <w:t xml:space="preserve"> The Office of Proceedings also hears and decides enforcement cases brought by the Commission. </w:t>
      </w:r>
    </w:p>
    <w:p>
      <w:pPr>
        <w:pStyle w:val="NormalWeb"/>
        <w:rPr>
          <w:rFonts w:ascii="Times New Roman" w:hAnsi="Times New Roman" w:cs="Times New Roman"/>
        </w:rPr>
      </w:pPr>
      <w:r>
        <w:rPr>
          <w:rFonts w:cs="Times New Roman" w:ascii="Times New Roman" w:hAnsi="Times New Roman"/>
        </w:rPr>
      </w:r>
    </w:p>
    <w:p>
      <w:pPr>
        <w:pStyle w:val="NormalWeb"/>
        <w:spacing w:before="100" w:after="100"/>
        <w:rPr>
          <w:rFonts w:ascii="Times New Roman" w:hAnsi="Times New Roman" w:cs="Times New Roman"/>
        </w:rPr>
      </w:pPr>
      <w:r>
        <w:rPr>
          <w:rFonts w:cs="Times New Roman" w:ascii="Times New Roman" w:hAnsi="Times New Roman"/>
        </w:rPr>
        <w:t>Attachment:  ISDA Summary of the Commodity Future Modernization Act of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color w:val="000000"/>
      <w:szCs w:val="20"/>
    </w:rPr>
  </w:style>
  <w:style w:type="paragraph" w:styleId="Heading2">
    <w:name w:val="heading 2"/>
    <w:basedOn w:val="Normal"/>
    <w:next w:val="Normal"/>
    <w:qFormat/>
    <w:pPr>
      <w:keepNext w:val="true"/>
      <w:keepLines/>
      <w:numPr>
        <w:ilvl w:val="1"/>
        <w:numId w:val="1"/>
      </w:numPr>
      <w:autoSpaceDE w:val="false"/>
      <w:spacing w:lineRule="atLeast" w:line="240"/>
      <w:outlineLvl w:val="1"/>
    </w:pPr>
    <w:rPr>
      <w:b/>
      <w:bCs/>
    </w:rPr>
  </w:style>
  <w:style w:type="paragraph" w:styleId="Heading3">
    <w:name w:val="heading 3"/>
    <w:basedOn w:val="Normal"/>
    <w:next w:val="Normal"/>
    <w:qFormat/>
    <w:pPr>
      <w:keepNext w:val="true"/>
      <w:keepLines/>
      <w:numPr>
        <w:ilvl w:val="2"/>
        <w:numId w:val="1"/>
      </w:numPr>
      <w:autoSpaceDE w:val="false"/>
      <w:spacing w:lineRule="atLeast" w:line="240"/>
      <w:outlineLvl w:val="2"/>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80"/>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fa.futures.org/" TargetMode="External"/><Relationship Id="rId3" Type="http://schemas.openxmlformats.org/officeDocument/2006/relationships/hyperlink" Target="http://www.cftc.gov/opa/commissioner.htm" TargetMode="External"/><Relationship Id="rId4" Type="http://schemas.openxmlformats.org/officeDocument/2006/relationships/hyperlink" Target="http://www.cftc.gov/oia/interhome.htm" TargetMode="External"/><Relationship Id="rId5" Type="http://schemas.openxmlformats.org/officeDocument/2006/relationships/hyperlink" Target="http://www.cftc.gov/dea/dea.html" TargetMode="External"/><Relationship Id="rId6" Type="http://schemas.openxmlformats.org/officeDocument/2006/relationships/hyperlink" Target="http://www.cftc.gov/tm/tmhome.htm" TargetMode="External"/><Relationship Id="rId7" Type="http://schemas.openxmlformats.org/officeDocument/2006/relationships/hyperlink" Target="http://www.cftc.gov/enf/index.html" TargetMode="External"/><Relationship Id="rId8" Type="http://schemas.openxmlformats.org/officeDocument/2006/relationships/hyperlink" Target="http://www.cftc.gov/ogc/index.html" TargetMode="External"/><Relationship Id="rId9" Type="http://schemas.openxmlformats.org/officeDocument/2006/relationships/hyperlink" Target="http://www.cftc.gov/oed/oedhome.htm" TargetMode="External"/><Relationship Id="rId10" Type="http://schemas.openxmlformats.org/officeDocument/2006/relationships/hyperlink" Target="http://www.cftc.gov/proc/reparations.html"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2001-03-01T14:32:00Z</dcterms:created>
  <dc:creator>clong</dc:creator>
  <dc:description/>
  <dc:language>en-CA</dc:language>
  <cp:lastModifiedBy>clong</cp:lastModifiedBy>
  <cp:lastPrinted>2001-03-01T17:11:00Z</cp:lastPrinted>
  <dcterms:modified xsi:type="dcterms:W3CDTF">2001-03-01T19:41:00Z</dcterms:modified>
  <cp:revision>7</cp:revision>
  <dc:subject/>
  <dc:title>James E</dc:title>
</cp:coreProperties>
</file>