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sz w:val="22"/>
          <w:szCs w:val="22"/>
        </w:rPr>
      </w:pPr>
      <w:r>
        <w:rPr>
          <w:b/>
          <w:bCs/>
          <w:sz w:val="22"/>
          <w:szCs w:val="22"/>
        </w:rPr>
        <w:t>XCEL ENERGY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xml:space="preserve">, 2001 (the “Effective Date”), is made and entered into by </w:t>
      </w:r>
      <w:r>
        <w:rPr>
          <w:b/>
          <w:bCs/>
          <w:sz w:val="22"/>
          <w:szCs w:val="22"/>
        </w:rPr>
        <w:t>XCEL ENERGY INC.</w:t>
      </w:r>
      <w:r>
        <w:rPr>
          <w:sz w:val="22"/>
          <w:szCs w:val="22"/>
        </w:rPr>
        <w:t>, a Minnesota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 PRIME ENERGY MARKETING, INC., a wholly owned subsidiary of Guarantor (“Counterparty”), and </w:t>
      </w:r>
      <w:r>
        <w:rPr>
          <w:caps/>
          <w:sz w:val="22"/>
          <w:szCs w:val="22"/>
        </w:rPr>
        <w:t>Enron NORTH AMERICA Corp.</w:t>
      </w:r>
      <w:r>
        <w:rPr>
          <w:sz w:val="22"/>
          <w:szCs w:val="22"/>
        </w:rPr>
        <w:t xml:space="preserve">, a Delaware corporation (“ENA”) and/or ENRON CANADA CORP. (“ECC”, and together with Enron being hereinafter collectively referred to as the “Enron Parties” and individually as an “Enron Party”), are contemplating entering into, or have entered into, one or more swap, option or other financially-settled derivative transactions (the “Financial Transactions”), which Financial Transactions will be evidenced by one or more swap agreements, confirmations and/or master agreements, including without limitation, the Master Agreement dated as of the Effective Date by and between Counterparty and ENA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“Financial Contracts”);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WHEREAS, Counterparty and the Enron Parties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w:t>
      </w:r>
      <w:r>
        <w:rPr>
          <w:sz w:val="22"/>
          <w:szCs w:val="22"/>
        </w:rPr>
        <w:t xml:space="preserve">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the Enron Parties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the Enron Parties entering into the Contracts,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Contracts,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(as defined in the Contracts) entered into prior to the time the termination is effective, which Transactions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188"/>
        <w:gridCol w:w="3960"/>
        <w:gridCol w:w="1800"/>
        <w:gridCol w:w="3150"/>
      </w:tblGrid>
      <w:tr>
        <w:trPr/>
        <w:tc>
          <w:tcPr>
            <w:tcW w:w="1188" w:type="dxa"/>
            <w:tcBorders/>
          </w:tcPr>
          <w:p>
            <w:pPr>
              <w:pStyle w:val="Normal"/>
              <w:keepNext w:val="true"/>
              <w:keepLines/>
              <w:spacing w:lineRule="atLeast" w:line="240"/>
              <w:rPr>
                <w:sz w:val="22"/>
                <w:szCs w:val="22"/>
              </w:rPr>
            </w:pPr>
            <w:r>
              <w:rPr>
                <w:sz w:val="22"/>
                <w:szCs w:val="22"/>
              </w:rPr>
              <w:t>To the Enron Parties:</w:t>
            </w:r>
          </w:p>
        </w:tc>
        <w:tc>
          <w:tcPr>
            <w:tcW w:w="3960" w:type="dxa"/>
            <w:tcBorders/>
          </w:tcPr>
          <w:p>
            <w:pPr>
              <w:pStyle w:val="Normal"/>
              <w:keepNext w:val="true"/>
              <w:keepLines/>
              <w:spacing w:lineRule="atLeast" w:line="240"/>
              <w:rPr>
                <w:sz w:val="22"/>
                <w:szCs w:val="22"/>
              </w:rPr>
            </w:pPr>
            <w:r>
              <w:rPr>
                <w:sz w:val="22"/>
                <w:szCs w:val="22"/>
              </w:rPr>
              <w:t xml:space="preserve">Enron North America Corp. </w:t>
            </w:r>
          </w:p>
        </w:tc>
        <w:tc>
          <w:tcPr>
            <w:tcW w:w="180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Xcel Energy Inc.</w:t>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1400 Smith Street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Houston, Texas 77002</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Attn.:  Director, Documentation Department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Fax No.:  (713) 646-4816</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the Enron Parties, its successors and assigns.  This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XCEL ENERGY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/mnt/main-storage/datasets/enron-docs/doc/CFS_eprime_em-ec79fa3443665e18a108ce56111c5a041a1abd7fd0603becf20b14aff589ecb3.doc</w:t>
    </w:r>
    <w:r>
      <w:rPr>
        <w:sz w:val="12"/>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2001-10-23T11:18:00Z</dcterms:created>
  <dc:creator>tjones</dc:creator>
  <dc:description/>
  <dc:language>en-CA</dc:language>
  <cp:lastModifiedBy>spanus</cp:lastModifiedBy>
  <cp:lastPrinted>2001-10-23T13:00:00Z</cp:lastPrinted>
  <dcterms:modified xsi:type="dcterms:W3CDTF">2001-10-23T15:30:00Z</dcterms:modified>
  <cp:revision>5</cp:revision>
  <dc:subject/>
  <dc:title>EXHIBIT A</dc:title>
</cp:coreProperties>
</file>