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i/>
          <w:i/>
        </w:rPr>
      </w:pPr>
      <w:r>
        <w:rPr>
          <w:rFonts w:cs="Arial" w:ascii="Arial" w:hAnsi="Arial"/>
          <w:b/>
          <w:i/>
        </w:rPr>
        <w:t>EOTT Energy Corp.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VP &amp; Chief Financial Officer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Roles, Responsibilities and Expectations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December 21, 1999</w:t>
      </w:r>
    </w:p>
    <w:p>
      <w:pPr>
        <w:pStyle w:val="Normal"/>
        <w:jc w:val="center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VP &amp; Chief Financial Officer, EOTT Energy Corp.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RESPONSIBILITIES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18"/>
                <w:u w:val="single"/>
              </w:rPr>
              <w:t>Responsibility</w:t>
            </w:r>
            <w:r>
              <w:rPr>
                <w:rFonts w:cs="Arial" w:ascii="Arial" w:hAnsi="Arial"/>
                <w:b/>
                <w:i/>
                <w:sz w:val="18"/>
              </w:rPr>
              <w:t>:</w:t>
            </w:r>
            <w:r>
              <w:rPr>
                <w:rFonts w:cs="Arial" w:ascii="Arial" w:hAnsi="Arial"/>
                <w:sz w:val="18"/>
              </w:rPr>
              <w:t xml:space="preserve">  Management of Financial Reporting Systems, SEC reporting, Crude Oil Accounting, Division Order and Royalty Payments, Pipeline Accounting, Ad Valorem Taxes, Financial Auditing, Expense Budgeting &amp; Tracking, Cash Management, Treasury, Credit, Financial Analysis &amp; Reporting, AFE Approval and Tracking, Contract Administration &amp; Accounts Payable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Reports to the President &amp; CEO and works closely with the EVP Commercial and the VP, Business Process Transformation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 Reports to CFO:  Treasurer &amp; Director of Finance &amp; Credit, Manager of Financial Reporting, Manager of Corporate Tax, &amp; Director of Division Order and Royalty Payments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Manage &amp; lead approximately 120 employees in various accounting &amp; financial functions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18"/>
                <w:u w:val="single"/>
              </w:rPr>
              <w:t>Responsibility</w:t>
            </w:r>
            <w:r>
              <w:rPr>
                <w:rFonts w:cs="Arial" w:ascii="Arial" w:hAnsi="Arial"/>
                <w:b/>
                <w:i/>
                <w:sz w:val="18"/>
              </w:rPr>
              <w:t>:</w:t>
            </w:r>
            <w:r>
              <w:rPr>
                <w:rFonts w:cs="Arial" w:ascii="Arial" w:hAnsi="Arial"/>
                <w:sz w:val="18"/>
              </w:rPr>
              <w:t xml:space="preserve">  Design and implement financial systems and work processes to ensure the effective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documentation of commercial transactions, appropriate reconciliation, and clear, concise and timely reporting of information.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Should have an excellent knowledge of available cost effective accounting and management information systems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team from manual error prone processes to well designed business processes effectively utilizing electronic gathering and transfer of information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18"/>
                <w:u w:val="single"/>
              </w:rPr>
              <w:t>Responsibility</w:t>
            </w:r>
            <w:r>
              <w:rPr>
                <w:rFonts w:cs="Arial" w:ascii="Arial" w:hAnsi="Arial"/>
                <w:b/>
                <w:i/>
                <w:sz w:val="18"/>
              </w:rPr>
              <w:t>:</w:t>
            </w:r>
            <w:r>
              <w:rPr>
                <w:rFonts w:cs="Arial" w:ascii="Arial" w:hAnsi="Arial"/>
                <w:sz w:val="18"/>
              </w:rPr>
              <w:t xml:space="preserve">  Must be a strong leader, effective delegator with the desire and ability to promote team work and assign clear accountabilities.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Must have the ability to recruit, train, and retain highly skilled managers and professionals in the various accounting and financial functions.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The candidate should demonstrate that he has a clear understanding of the intricacies and complexities of a Master Limited Partnership.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EXPERIENCE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numPr>
                <w:ilvl w:val="0"/>
                <w:numId w:val="1"/>
              </w:numPr>
              <w:tabs>
                <w:tab w:val="clear" w:pos="720"/>
                <w:tab w:val="left" w:pos="1062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15+ years of relevant experience, with proven track record of major achievements and accomplishments.  Strong background in the finance and controller aspects of the position, particularly the latter.</w:t>
            </w:r>
          </w:p>
          <w:p>
            <w:pPr>
              <w:pStyle w:val="Normal"/>
              <w:numPr>
                <w:ilvl w:val="0"/>
                <w:numId w:val="7"/>
              </w:numPr>
              <w:tabs>
                <w:tab w:val="clear" w:pos="720"/>
                <w:tab w:val="left" w:pos="1062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Ability to establish highly efficient and effective business processes in all areas of responsibility with clear documentation and reconciliation procedures.</w:t>
            </w:r>
          </w:p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1062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Must have high level of experience and expertise to understand the numerous purchase, sales, complex exchanges and trading associated with the crude oil transportation and marketing business.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1062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Experience must demonstrate that the candidate is extremely service oriented with a strong desire to meet or exceed expectations of external and internal customers.</w:t>
            </w:r>
          </w:p>
          <w:p>
            <w:pPr>
              <w:pStyle w:val="Normal"/>
              <w:numPr>
                <w:ilvl w:val="0"/>
                <w:numId w:val="8"/>
              </w:numPr>
              <w:tabs>
                <w:tab w:val="clear" w:pos="720"/>
                <w:tab w:val="left" w:pos="1062" w:leader="none"/>
                <w:tab w:val="left" w:pos="1440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Candidate must be highly innovative, a change agent with the ability and desire to play a key role in EOTT’s commitment to transform the company and the industry.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062" w:leader="none"/>
                <w:tab w:val="left" w:pos="1440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Candidate should have a good understanding of the potential of the Internet to provide breakthrough advances in EOTT’s internal processes and future commercial opportunities.</w:t>
              <w:tab/>
            </w:r>
          </w:p>
        </w:tc>
      </w:tr>
    </w:tbl>
    <w:p>
      <w:pPr>
        <w:pStyle w:val="Normal"/>
        <w:rPr/>
      </w:pPr>
      <w:r>
        <w:rPr/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EDUCATION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062" w:leader="none"/>
                <w:tab w:val="left" w:pos="1440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Undergraduate degree – Finance &amp; Accounting with CPA &amp; MBA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COMPENSATION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062" w:leader="none"/>
              </w:tabs>
              <w:ind w:hanging="360" w:start="106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Salary $150,000/year+ with potential for bonus up to 50% of salary, plus long-term incentive compensation program.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30"/>
      </w:tblGrid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MAJOR CHALLENGES &amp; OPPORTUNITIES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a major initiative to design and establish a highly efficient and effective work process that appropriately captures and documents the company’s commercial transactions.  This process should accurately feed the company’s financial and management reporting system in a clear, logical and rational manner.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1062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Initiate the implementation of improved processes and systems that greatly improve the timeliness of the company’s monthly financial close and report to management.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the design and speedy implementation of a significant and substantial improvement of the company’s monthly financial reporting information systems including the use of “one page reports” and effective use of graphics.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 creative practices in effective use of financial reserves and innovative but acceptable accounting practices to minimize the volatility in the company’s monthly and quarterly earnings.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the migration from an antiquated Computron System to a new, cost effective, flexible and user friendly expense and cost reporting system.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the Corporate Tax Department in a major effort to substantially reduce the company’s payment of ad valorem taxes.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 innovative and effective approaches to finance EOTT’s commitment to lead the consolidation of our industry through an aggressive acquisition strategy.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Play a significant role in assuring that EOTT develops an excellent reputation with the financial community and communicates appropriately and effectively with buy-side analysts and investors.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 an effective approach that will allow EOTT to substantially reduce its cost of credit support in its marketing and trading activities.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Participate with EOTT’s leadership in developing a highly creative, innovative and effective means to capitalize on its generation of 12 to 15 billion dollars of revenue each year.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Lead the Division Order department in a major transformation of this function to streamline work processes, eliminate unnecessary work and irresponsible practices to substantially lower EOTT’s costs while improving its level of service.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Work with the V.P. of Business Process Transformation to expedite the establishment of a highly effective and smoothly functioning data warehouse system.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Develop an effective approach to assure the cooperation of proper insurance management at aggressively competitive prices.</w:t>
            </w:r>
          </w:p>
        </w:tc>
      </w:tr>
      <w:tr>
        <w:trPr/>
        <w:tc>
          <w:tcPr>
            <w:tcW w:w="9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Participate in the coordination of Risk Management processes to better align with Industry Best Practices and effective control of costs associated with environmental exposures.</w:t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type w:val="nextPage"/>
      <w:pgSz w:w="12240" w:h="15840"/>
      <w:pgMar w:left="720" w:right="720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360"/>
        </w:tabs>
        <w:ind w:start="108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1999-12-21T12:46:00Z</dcterms:created>
  <dc:creator>Shelly Worrell</dc:creator>
  <dc:description/>
  <dc:language>en-CA</dc:language>
  <cp:lastModifiedBy>Shelly Worrell</cp:lastModifiedBy>
  <cp:lastPrinted>1999-12-21T10:17:00Z</cp:lastPrinted>
  <dcterms:modified xsi:type="dcterms:W3CDTF">1999-12-21T16:45:00Z</dcterms:modified>
  <cp:revision>3</cp:revision>
  <dc:subject/>
  <dc:title>EOTT Energy Corp</dc:title>
</cp:coreProperties>
</file>