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400" w:leader="none"/>
        </w:tabs>
        <w:rPr/>
      </w:pPr>
      <w:r>
        <w:rPr/>
        <w:drawing>
          <wp:inline distT="0" distB="0" distL="0" distR="0">
            <wp:extent cx="1139190" cy="11347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r>
        <w:rPr/>
        <w:tab/>
      </w:r>
      <w:r>
        <w:rPr>
          <w:b/>
          <w:sz w:val="22"/>
        </w:rPr>
        <w:t>Enron Europe Limited</w:t>
      </w:r>
    </w:p>
    <w:p>
      <w:pPr>
        <w:pStyle w:val="Normal"/>
        <w:tabs>
          <w:tab w:val="clear" w:pos="720"/>
          <w:tab w:val="left" w:pos="5400" w:leader="none"/>
          <w:tab w:val="left" w:pos="5490" w:leader="none"/>
        </w:tabs>
        <w:rPr/>
      </w:pPr>
      <w:r>
        <w:rPr>
          <w:b/>
          <w:sz w:val="22"/>
        </w:rPr>
        <w:tab/>
      </w:r>
      <w:r>
        <w:rPr>
          <w:i/>
          <w:sz w:val="22"/>
        </w:rPr>
        <w:t>Enron House</w:t>
      </w:r>
    </w:p>
    <w:p>
      <w:pPr>
        <w:pStyle w:val="Normal"/>
        <w:tabs>
          <w:tab w:val="clear" w:pos="720"/>
          <w:tab w:val="left" w:pos="5400" w:leader="none"/>
          <w:tab w:val="left" w:pos="5490" w:leader="none"/>
        </w:tabs>
        <w:rPr>
          <w:i/>
          <w:i/>
          <w:sz w:val="22"/>
        </w:rPr>
      </w:pPr>
      <w:r>
        <w:rPr>
          <w:i/>
          <w:sz w:val="22"/>
        </w:rPr>
        <w:tab/>
        <w:t>Forty Grosvenor Place</w:t>
      </w:r>
    </w:p>
    <w:p>
      <w:pPr>
        <w:pStyle w:val="Normal"/>
        <w:tabs>
          <w:tab w:val="clear" w:pos="720"/>
          <w:tab w:val="left" w:pos="5400" w:leader="none"/>
          <w:tab w:val="left" w:pos="5490" w:leader="none"/>
        </w:tabs>
        <w:rPr>
          <w:i/>
          <w:i/>
          <w:sz w:val="22"/>
        </w:rPr>
      </w:pPr>
      <w:r>
        <w:rPr>
          <w:i/>
          <w:sz w:val="22"/>
        </w:rPr>
        <w:tab/>
        <w:t>London, SWIX 7EN</w:t>
      </w:r>
    </w:p>
    <w:p>
      <w:pPr>
        <w:pStyle w:val="Normal"/>
        <w:tabs>
          <w:tab w:val="clear" w:pos="720"/>
          <w:tab w:val="left" w:pos="5400" w:leader="none"/>
          <w:tab w:val="left" w:pos="5490" w:leader="none"/>
        </w:tabs>
        <w:rPr>
          <w:i/>
          <w:i/>
          <w:sz w:val="22"/>
        </w:rPr>
      </w:pPr>
      <w:r>
        <w:rPr>
          <w:i/>
          <w:sz w:val="22"/>
        </w:rPr>
        <w:tab/>
        <w:t>Tel:  0207 783 0000</w:t>
      </w:r>
    </w:p>
    <w:p>
      <w:pPr>
        <w:pStyle w:val="Normal"/>
        <w:tabs>
          <w:tab w:val="clear" w:pos="720"/>
          <w:tab w:val="left" w:pos="5400" w:leader="none"/>
          <w:tab w:val="left" w:pos="5490" w:leader="none"/>
        </w:tabs>
        <w:rPr/>
      </w:pPr>
      <w:r>
        <w:rPr/>
        <w:tab/>
      </w:r>
      <w:r>
        <w:rPr>
          <w:i/>
          <w:sz w:val="22"/>
        </w:rPr>
        <w:t>Fax: 0207 783 0001</w:t>
      </w:r>
    </w:p>
    <w:p>
      <w:pPr>
        <w:pStyle w:val="Normal"/>
        <w:tabs>
          <w:tab w:val="clear" w:pos="720"/>
          <w:tab w:val="left" w:pos="5400" w:leader="none"/>
        </w:tabs>
        <w:rPr>
          <w:i/>
          <w:i/>
          <w:sz w:val="22"/>
        </w:rPr>
      </w:pPr>
      <w:r>
        <w:rPr>
          <w:i/>
          <w:sz w:val="22"/>
        </w:rPr>
      </w:r>
    </w:p>
    <w:p>
      <w:pPr>
        <w:pStyle w:val="Header"/>
        <w:tabs>
          <w:tab w:val="clear" w:pos="4320"/>
          <w:tab w:val="clear" w:pos="8640"/>
          <w:tab w:val="left" w:pos="5400" w:leader="none"/>
        </w:tabs>
        <w:rPr/>
      </w:pPr>
      <w:r>
        <w:rPr/>
      </w:r>
    </w:p>
    <w:p>
      <w:pPr>
        <w:pStyle w:val="Normal"/>
        <w:tabs>
          <w:tab w:val="clear" w:pos="720"/>
          <w:tab w:val="left" w:pos="5400" w:leader="none"/>
        </w:tabs>
        <w:rPr/>
      </w:pPr>
      <w:r>
        <w:rPr/>
      </w:r>
    </w:p>
    <w:p>
      <w:pPr>
        <w:pStyle w:val="Normal"/>
        <w:rPr/>
      </w:pPr>
      <w:r>
        <w:rPr/>
        <w:t>Mr. CFO</w:t>
      </w:r>
    </w:p>
    <w:p>
      <w:pPr>
        <w:pStyle w:val="Heading1"/>
        <w:ind w:hanging="0" w:start="0"/>
        <w:rPr>
          <w:sz w:val="20"/>
        </w:rPr>
      </w:pPr>
      <w:r>
        <w:rPr>
          <w:sz w:val="20"/>
        </w:rPr>
        <w:t>XYZ Company</w:t>
      </w:r>
    </w:p>
    <w:p>
      <w:pPr>
        <w:pStyle w:val="Normal"/>
        <w:rPr/>
      </w:pPr>
      <w:r>
        <w:rPr/>
        <w:t>1234 Street</w:t>
      </w:r>
    </w:p>
    <w:p>
      <w:pPr>
        <w:pStyle w:val="Normal"/>
        <w:rPr/>
      </w:pPr>
      <w:r>
        <w:rPr/>
        <w:t>City, State, Post Code</w:t>
      </w:r>
    </w:p>
    <w:p>
      <w:pPr>
        <w:pStyle w:val="Normal"/>
        <w:rPr/>
      </w:pPr>
      <w:r>
        <w:rPr/>
        <w:t>Country</w:t>
      </w:r>
    </w:p>
    <w:p>
      <w:pPr>
        <w:pStyle w:val="Normal"/>
        <w:rPr/>
      </w:pPr>
      <w:r>
        <w:rPr/>
      </w:r>
    </w:p>
    <w:p>
      <w:pPr>
        <w:pStyle w:val="Normal"/>
        <w:rPr/>
      </w:pPr>
      <w:r>
        <w:rPr/>
      </w:r>
    </w:p>
    <w:p>
      <w:pPr>
        <w:pStyle w:val="Normal"/>
        <w:rPr/>
      </w:pPr>
      <w:r>
        <w:rPr/>
        <w:t>Dear Mr. CFO,</w:t>
      </w:r>
    </w:p>
    <w:p>
      <w:pPr>
        <w:pStyle w:val="Normal"/>
        <w:rPr/>
      </w:pPr>
      <w:r>
        <w:rPr/>
      </w:r>
    </w:p>
    <w:p>
      <w:pPr>
        <w:pStyle w:val="Normal"/>
        <w:jc w:val="both"/>
        <w:rPr/>
      </w:pPr>
      <w:r>
        <w:rPr/>
      </w:r>
    </w:p>
    <w:p>
      <w:pPr>
        <w:pStyle w:val="Normal"/>
        <w:jc w:val="both"/>
        <w:rPr/>
      </w:pPr>
      <w:r>
        <w:rPr/>
        <w:t xml:space="preserve">We are preparing to announce a new credit risk management business designed to provide sophisticated tools to assist our counterparties in managing the credit risk in their portfolios.  As part of this new business, we will begin making markets in a wide range of reference entities and develop liquidity in the corporate credit market. Enron expects liquidity and transparency in credit pricing to improve the efficiency of credit markets, allowing credit risk to flow more easily to those institutions best positioned to manage risk and ultimately reduce the costs associated with accessing credit markets.  </w:t>
      </w:r>
    </w:p>
    <w:p>
      <w:pPr>
        <w:pStyle w:val="Normal"/>
        <w:jc w:val="both"/>
        <w:rPr/>
      </w:pPr>
      <w:r>
        <w:rPr/>
      </w:r>
    </w:p>
    <w:p>
      <w:pPr>
        <w:pStyle w:val="Normal"/>
        <w:jc w:val="both"/>
        <w:rPr/>
      </w:pPr>
      <w:r>
        <w:rPr/>
        <w:t>Our initial product offering is a bankruptcy swap designed to closely match the credit risk of commercial contracts.  We have selected reference credits across a range of industries, countries and credit quality and will expand the number and breadth of quoted names in the near future. Enron recently introduced EnronOnline™, a global web-based system for the trading of energy products, energy derivatives and other commodities.  We are continuing to make additional products and services available through EnronOnline and will, in the very near future, include bankruptcy swaps on EnronOnline.</w:t>
      </w:r>
    </w:p>
    <w:p>
      <w:pPr>
        <w:pStyle w:val="Normal"/>
        <w:jc w:val="both"/>
        <w:rPr/>
      </w:pPr>
      <w:r>
        <w:rPr/>
      </w:r>
    </w:p>
    <w:p>
      <w:pPr>
        <w:pStyle w:val="Normal"/>
        <w:jc w:val="both"/>
        <w:rPr/>
      </w:pPr>
      <w:r>
        <w:rPr/>
        <w:t xml:space="preserve">We have selected </w:t>
      </w:r>
      <w:r>
        <w:rPr>
          <w:b/>
          <w:i/>
        </w:rPr>
        <w:t>XYZ company</w:t>
      </w:r>
      <w:r>
        <w:rPr/>
        <w:t xml:space="preserve"> as a reference entity based on our ability to analyze the credit and provide accurate, market-based pricing.  The initial set of reference credits has been carefully selected to ensure that liquidity on the names develops quickly and pricing is sharp.  As a selected company, you will be able to see the price for your credit in real time as well as analyze trends in the price of your credit. By making the price of credit more transparent, we expect to greatly increase the liquidity in corporate credit, which will generate additional capacity in the marketplace and ensure that your customers can free up credit lines to transact further value-added business with you.  If you feel that specific public information which would impact the price of these swaps may not have been incorporated into our prices, please bring it to our attention and we will incorporate this information into our analysis.</w:t>
      </w:r>
    </w:p>
    <w:p>
      <w:pPr>
        <w:pStyle w:val="Normal"/>
        <w:jc w:val="both"/>
        <w:rPr/>
      </w:pPr>
      <w:r>
        <w:rPr/>
      </w:r>
    </w:p>
    <w:p>
      <w:pPr>
        <w:pStyle w:val="Normal"/>
        <w:rPr/>
      </w:pPr>
      <w:r>
        <w:rPr/>
        <w:t xml:space="preserve">The bankruptcy swap will provide for one party to make a fixed payment upon the occurrence of a bankruptcy with respect to a specified “Reference Entity”.  We anticipate that bankruptcy swaps will be listed on a significant number of Reference Entities, including </w:t>
      </w:r>
      <w:r>
        <w:rPr>
          <w:b/>
          <w:i/>
        </w:rPr>
        <w:t>[name of recipient Reference Entity</w:t>
      </w:r>
      <w:r>
        <w:rPr>
          <w:i/>
        </w:rPr>
        <w:t>]</w:t>
      </w:r>
      <w:r>
        <w:rPr/>
        <w:t xml:space="preserve">.  Such a listing will include the name of the Reference Entity and Enron’s current quotations for 5-year credit protection, with respect to such Reference Entity.  The availability and pricing of credit derivatives and the list of Reference Entities, like the terms of other products traded through EnronOnline, will be determined by Enron at its discretion. </w:t>
      </w:r>
    </w:p>
    <w:p>
      <w:pPr>
        <w:pStyle w:val="Normal"/>
        <w:jc w:val="both"/>
        <w:rPr/>
      </w:pPr>
      <w:r>
        <w:rPr/>
      </w:r>
      <w:r>
        <w:br w:type="page"/>
      </w:r>
    </w:p>
    <w:p>
      <w:pPr>
        <w:pStyle w:val="Normal"/>
        <w:jc w:val="both"/>
        <w:rPr/>
      </w:pPr>
      <w:r>
        <w:rPr/>
        <w:t xml:space="preserve">A new web site, </w:t>
      </w:r>
      <w:r>
        <w:rPr>
          <w:b/>
          <w:color w:val="FF0000"/>
        </w:rPr>
        <w:t>EnronCredit.com</w:t>
      </w:r>
      <w:r>
        <w:rPr/>
        <w:t>, will be launched very shortly. It has been designed as an information portal and provides indicative pricing on a large number of Reference Entities, describes our product offerings in more detail, provides access to pricing models and allows users to integrate leading credit risk management techniques into their internal processes.</w:t>
      </w:r>
    </w:p>
    <w:p>
      <w:pPr>
        <w:pStyle w:val="Normal"/>
        <w:jc w:val="both"/>
        <w:rPr/>
      </w:pPr>
      <w:r>
        <w:rPr/>
      </w:r>
    </w:p>
    <w:p>
      <w:pPr>
        <w:pStyle w:val="Normal"/>
        <w:jc w:val="both"/>
        <w:rPr/>
      </w:pPr>
      <w:r>
        <w:rPr/>
        <w:t>Please stay tuned for increasingly sophisticated tools to manage corporate credit risk as they become available.</w:t>
      </w:r>
    </w:p>
    <w:p>
      <w:pPr>
        <w:pStyle w:val="Normal"/>
        <w:jc w:val="both"/>
        <w:rPr/>
      </w:pPr>
      <w:r>
        <w:rPr/>
      </w:r>
    </w:p>
    <w:p>
      <w:pPr>
        <w:pStyle w:val="Normal"/>
        <w:jc w:val="both"/>
        <w:rPr/>
      </w:pPr>
      <w:r>
        <w:rPr/>
        <w:t>Your feedback will be greatly appreciated.  If you have any questions please do not hesitate to contact me in London at +44 (0)20 7783 4242.</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Yours Sincerely,</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Bryan Seyfried</w:t>
      </w:r>
    </w:p>
    <w:p>
      <w:pPr>
        <w:pStyle w:val="Normal"/>
        <w:jc w:val="both"/>
        <w:rPr/>
      </w:pPr>
      <w:r>
        <w:rPr/>
        <w:t>Vice President</w:t>
      </w:r>
    </w:p>
    <w:p>
      <w:pPr>
        <w:pStyle w:val="Normal"/>
        <w:jc w:val="both"/>
        <w:rPr/>
      </w:pPr>
      <w:r>
        <w:rPr/>
        <w:t>EnronCredit.com</w:t>
      </w:r>
    </w:p>
    <w:p>
      <w:pPr>
        <w:pStyle w:val="Normal"/>
        <w:tabs>
          <w:tab w:val="clear" w:pos="720"/>
          <w:tab w:val="left" w:pos="5400" w:leader="none"/>
        </w:tabs>
        <w:rPr/>
      </w:pPr>
      <w:r>
        <w:rPr/>
      </w:r>
    </w:p>
    <w:sectPr>
      <w:footerReference w:type="default" r:id="rId3"/>
      <w:type w:val="nextPage"/>
      <w:pgSz w:w="11906" w:h="16838"/>
      <w:pgMar w:left="1800" w:right="1286"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Fonts w:cs="Arial" w:ascii="Arial" w:hAnsi="Arial"/>
        <w:b/>
        <w:color w:val="0000FF"/>
        <w:sz w:val="22"/>
      </w:rPr>
      <w:t>Endless possibilities</w:t>
    </w:r>
    <w:r>
      <w:rPr>
        <w:rFonts w:cs="Courier;Courier New" w:ascii="Courier;Courier New" w:hAnsi="Courier;Courier New"/>
        <w:color w:val="0000FF"/>
      </w:rPr>
      <w:t>.</w:t>
    </w:r>
  </w:p>
  <w:p>
    <w:pPr>
      <w:pStyle w:val="Normal"/>
      <w:rPr>
        <w:rFonts w:ascii="Courier;Courier New" w:hAnsi="Courier;Courier New" w:cs="Courier;Courier New"/>
        <w:color w:val="0000FF"/>
      </w:rPr>
    </w:pPr>
    <w:r>
      <w:rPr>
        <w:rFonts w:cs="Courier;Courier New" w:ascii="Courier;Courier New" w:hAnsi="Courier;Courier New"/>
        <w:color w:val="0000FF"/>
      </w:rPr>
    </w:r>
  </w:p>
  <w:p>
    <w:pPr>
      <w:pStyle w:val="Normal"/>
      <w:rPr/>
    </w:pPr>
    <w:r>
      <w:rPr/>
      <w:tab/>
      <w:tab/>
      <w:tab/>
    </w:r>
    <w:r>
      <w:rPr>
        <w:i/>
      </w:rPr>
      <w:t>Registered in England, Reg. No. 3368625</w:t>
      <w:tab/>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sz w:val="24"/>
      <w:lang w:val="en-AU"/>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 Europe Limited.dot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2000-02-16T17:54:00Z</dcterms:created>
  <dc:creator>kschilli</dc:creator>
  <dc:description/>
  <dc:language>en-CA</dc:language>
  <cp:lastModifiedBy>BSeyfrie</cp:lastModifiedBy>
  <cp:lastPrinted>2000-02-16T19:38:00Z</cp:lastPrinted>
  <dcterms:modified xsi:type="dcterms:W3CDTF">2000-02-16T17:54:00Z</dcterms:modified>
  <cp:revision>2</cp:revision>
  <dc:subject/>
  <dc:title> </dc:title>
</cp:coreProperties>
</file>