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16"/>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/mnt/main-storage/datasets/enron-docs/doc/CFD1.doc</w:t>
      </w:r>
      <w:r>
        <w:rPr>
          <w:sz w:val="16"/>
          <w:lang w:eastAsia="en-US"/>
        </w:rPr>
        <w:fldChar w:fldCharType="end"/>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CONFIRMATION AGREEMENT</w:t>
      </w:r>
    </w:p>
    <w:p>
      <w:pPr>
        <w:pStyle w:val="Heading2"/>
        <w:ind w:hanging="0" w:start="0"/>
        <w:rPr>
          <w:b/>
          <w:sz w:val="24"/>
        </w:rPr>
      </w:pPr>
      <w:r>
        <w:rPr>
          <w:b/>
          <w:sz w:val="24"/>
        </w:rPr>
      </w:r>
    </w:p>
    <w:p>
      <w:pPr>
        <w:pStyle w:val="Heading2"/>
        <w:ind w:hanging="0" w:start="0"/>
        <w:rPr/>
      </w:pPr>
      <w:r>
        <w:rPr>
          <w:b/>
        </w:rPr>
        <w:t>DATE:</w:t>
      </w:r>
      <w:r>
        <w:rPr/>
        <w:tab/>
        <w:t>___________, 2000</w:t>
      </w:r>
    </w:p>
    <w:p>
      <w:pPr>
        <w:pStyle w:val="Normal"/>
        <w:rPr>
          <w:sz w:val="24"/>
        </w:rPr>
      </w:pPr>
      <w:r>
        <w:rPr>
          <w:sz w:val="24"/>
        </w:rPr>
      </w:r>
    </w:p>
    <w:p>
      <w:pPr>
        <w:pStyle w:val="Normal"/>
        <w:rPr/>
      </w:pPr>
      <w:r>
        <w:rPr>
          <w:b/>
          <w:sz w:val="24"/>
        </w:rPr>
        <w:t>TO:</w:t>
      </w:r>
      <w:r>
        <w:rPr>
          <w:sz w:val="24"/>
        </w:rPr>
        <w:tab/>
        <w:tab/>
        <w:t>_____________________ (“Counterparty”)</w:t>
      </w:r>
    </w:p>
    <w:p>
      <w:pPr>
        <w:pStyle w:val="Normal"/>
        <w:rPr>
          <w:sz w:val="24"/>
        </w:rPr>
      </w:pPr>
      <w:r>
        <w:rPr>
          <w:sz w:val="24"/>
        </w:rPr>
      </w:r>
    </w:p>
    <w:p>
      <w:pPr>
        <w:pStyle w:val="Normal"/>
        <w:rPr/>
      </w:pPr>
      <w:r>
        <w:rPr>
          <w:b/>
          <w:sz w:val="24"/>
        </w:rPr>
        <w:t>ATTN:</w:t>
        <w:tab/>
      </w:r>
      <w:r>
        <w:rPr>
          <w:sz w:val="24"/>
        </w:rPr>
        <w:t>Confirmations</w:t>
      </w:r>
    </w:p>
    <w:p>
      <w:pPr>
        <w:pStyle w:val="Normal"/>
        <w:rPr>
          <w:sz w:val="24"/>
        </w:rPr>
      </w:pPr>
      <w:r>
        <w:rPr>
          <w:sz w:val="24"/>
        </w:rPr>
      </w:r>
    </w:p>
    <w:p>
      <w:pPr>
        <w:pStyle w:val="Normal"/>
        <w:rPr/>
      </w:pPr>
      <w:r>
        <w:rPr>
          <w:b/>
          <w:sz w:val="24"/>
        </w:rPr>
        <w:t>FROM:</w:t>
        <w:tab/>
      </w:r>
      <w:r>
        <w:rPr>
          <w:sz w:val="24"/>
        </w:rPr>
        <w:t>Power Authority of the State of New York  (“NYPA”)</w:t>
      </w:r>
    </w:p>
    <w:p>
      <w:pPr>
        <w:pStyle w:val="Normal"/>
        <w:rPr>
          <w:sz w:val="24"/>
        </w:rPr>
      </w:pPr>
      <w:r>
        <w:rPr>
          <w:sz w:val="24"/>
        </w:rPr>
        <w:tab/>
        <w:tab/>
        <w:t>Contact:</w:t>
        <w:tab/>
        <w:t>___________________</w:t>
      </w:r>
    </w:p>
    <w:p>
      <w:pPr>
        <w:pStyle w:val="Normal"/>
        <w:rPr>
          <w:sz w:val="24"/>
        </w:rPr>
      </w:pPr>
      <w:r>
        <w:rPr>
          <w:sz w:val="24"/>
        </w:rPr>
        <w:tab/>
        <w:tab/>
        <w:t>Fax:</w:t>
        <w:tab/>
        <w:tab/>
        <w:t>___________________</w:t>
      </w:r>
    </w:p>
    <w:p>
      <w:pPr>
        <w:pStyle w:val="Normal"/>
        <w:rPr>
          <w:sz w:val="24"/>
        </w:rPr>
      </w:pPr>
      <w:r>
        <w:rPr>
          <w:sz w:val="24"/>
        </w:rPr>
        <w:tab/>
        <w:tab/>
        <w:t>Phone:</w:t>
        <w:tab/>
        <w:tab/>
        <w:t>___________________</w:t>
      </w:r>
    </w:p>
    <w:p>
      <w:pPr>
        <w:pStyle w:val="Normal"/>
        <w:rPr>
          <w:sz w:val="24"/>
        </w:rPr>
      </w:pPr>
      <w:r>
        <w:rPr>
          <w:sz w:val="24"/>
        </w:rPr>
      </w:r>
    </w:p>
    <w:p>
      <w:pPr>
        <w:pStyle w:val="Normal"/>
        <w:rPr/>
      </w:pPr>
      <w:r>
        <w:rPr>
          <w:b/>
          <w:sz w:val="24"/>
        </w:rPr>
        <w:t>RE:</w:t>
      </w:r>
      <w:r>
        <w:rPr>
          <w:sz w:val="24"/>
        </w:rPr>
        <w:tab/>
        <w:tab/>
        <w:t xml:space="preserve">Commodity Swap – Cash Settled </w:t>
      </w:r>
    </w:p>
    <w:p>
      <w:pPr>
        <w:pStyle w:val="Normal"/>
        <w:rPr>
          <w:sz w:val="24"/>
        </w:rPr>
      </w:pPr>
      <w:r>
        <w:rPr>
          <w:sz w:val="24"/>
        </w:rPr>
      </w:r>
    </w:p>
    <w:p>
      <w:pPr>
        <w:pStyle w:val="Normal"/>
        <w:rPr>
          <w:b/>
          <w:sz w:val="24"/>
        </w:rPr>
      </w:pPr>
      <w:r>
        <w:rPr>
          <w:b/>
          <w:sz w:val="24"/>
        </w:rPr>
        <w:t xml:space="preserve">NYPA Reference Number: </w:t>
      </w:r>
    </w:p>
    <w:p>
      <w:pPr>
        <w:pStyle w:val="Header"/>
        <w:tabs>
          <w:tab w:val="clear" w:pos="4320"/>
          <w:tab w:val="clear" w:pos="8640"/>
        </w:tabs>
        <w:rPr>
          <w:b/>
          <w:sz w:val="24"/>
        </w:rPr>
      </w:pPr>
      <w:r>
        <w:rPr>
          <w:b/>
          <w:sz w:val="24"/>
        </w:rPr>
      </w:r>
    </w:p>
    <w:p>
      <w:pPr>
        <w:pStyle w:val="BodyText2"/>
        <w:rPr>
          <w:rFonts w:ascii="Times New Roman" w:hAnsi="Times New Roman" w:cs="Times New Roman"/>
        </w:rPr>
      </w:pPr>
      <w:r>
        <w:rPr>
          <w:rFonts w:cs="Times New Roman" w:ascii="Times New Roman" w:hAnsi="Times New Roman"/>
        </w:rPr>
        <w:t>Dear Sir/Madam:</w:t>
      </w:r>
    </w:p>
    <w:p>
      <w:pPr>
        <w:pStyle w:val="Normal"/>
        <w:rPr>
          <w:rFonts w:ascii="Times New Roman" w:hAnsi="Times New Roman" w:cs="Times New Roman"/>
          <w:sz w:val="24"/>
        </w:rPr>
      </w:pPr>
      <w:r>
        <w:rPr>
          <w:rFonts w:cs="Times New Roman"/>
          <w:sz w:val="24"/>
        </w:rPr>
      </w:r>
    </w:p>
    <w:p>
      <w:pPr>
        <w:pStyle w:val="BodyText3"/>
        <w:rPr>
          <w:sz w:val="24"/>
        </w:rPr>
      </w:pPr>
      <w:r>
        <w:rPr>
          <w:sz w:val="24"/>
        </w:rPr>
        <w:t xml:space="preserve">The purpose of this letter (“Confirmation”) is to confirm the terms and conditions of the Transaction entered into between the Power Authority of the State of New York (“NYPA”) and Counterparty on the Trade Date specified below (the “Transaction”) under the terms and conditions set forth below.  NYPA and Counterparty may also hereinafter be referred to individually as “Party” or collectively as “Parties.” </w:t>
      </w:r>
    </w:p>
    <w:p>
      <w:pPr>
        <w:pStyle w:val="Normal"/>
        <w:rPr>
          <w:sz w:val="24"/>
        </w:rPr>
      </w:pPr>
      <w:r>
        <w:rPr>
          <w:sz w:val="24"/>
        </w:rPr>
      </w:r>
    </w:p>
    <w:p>
      <w:pPr>
        <w:pStyle w:val="Normal"/>
        <w:numPr>
          <w:ilvl w:val="0"/>
          <w:numId w:val="3"/>
        </w:numPr>
        <w:rPr>
          <w:b/>
          <w:sz w:val="24"/>
        </w:rPr>
      </w:pPr>
      <w:r>
        <w:rPr>
          <w:b/>
          <w:sz w:val="24"/>
        </w:rPr>
        <w:t xml:space="preserve">Master Agreement </w:t>
      </w:r>
    </w:p>
    <w:p>
      <w:pPr>
        <w:pStyle w:val="Normal"/>
        <w:rPr>
          <w:b/>
          <w:sz w:val="24"/>
        </w:rPr>
      </w:pPr>
      <w:r>
        <w:rPr>
          <w:b/>
          <w:sz w:val="24"/>
        </w:rPr>
      </w:r>
    </w:p>
    <w:p>
      <w:pPr>
        <w:pStyle w:val="Normal"/>
        <w:rPr/>
      </w:pPr>
      <w:r>
        <w:rPr>
          <w:sz w:val="24"/>
        </w:rPr>
        <w:t>This Confirmation shall supplement, form a part of, and be subject to, the Master Agreement, as amended and supplemented from time to time (the “Master Agreement”) between NYPA and Counterparty, dated ________, 2000, which Agreement shall govern this Confirmation except as expressly modified in Sections 2-9 below.</w:t>
      </w:r>
      <w:r>
        <w:rPr>
          <w:rFonts w:cs="Courier New" w:ascii="Courier New" w:hAnsi="Courier New"/>
          <w:lang w:eastAsia="en-US"/>
        </w:rPr>
        <w:t xml:space="preserve"> </w:t>
      </w:r>
      <w:r>
        <w:rPr>
          <w:sz w:val="24"/>
          <w:lang w:eastAsia="en-US"/>
        </w:rPr>
        <w:t>The parties shall negotiate in</w:t>
      </w:r>
    </w:p>
    <w:p>
      <w:pPr>
        <w:pStyle w:val="Normal"/>
        <w:rPr>
          <w:sz w:val="24"/>
          <w:lang w:eastAsia="en-US"/>
        </w:rPr>
      </w:pPr>
      <w:r>
        <w:rPr>
          <w:sz w:val="24"/>
          <w:lang w:eastAsia="en-US"/>
        </w:rPr>
        <w:t>good faith any modifications to the Master Agreement which may be necessary</w:t>
      </w:r>
    </w:p>
    <w:p>
      <w:pPr>
        <w:pStyle w:val="Normal"/>
        <w:rPr>
          <w:sz w:val="24"/>
          <w:lang w:eastAsia="en-US"/>
        </w:rPr>
      </w:pPr>
      <w:r>
        <w:rPr>
          <w:sz w:val="24"/>
          <w:lang w:eastAsia="en-US"/>
        </w:rPr>
        <w:t>to ensure that the provisions of this Transaction shall prevail in the event</w:t>
      </w:r>
    </w:p>
    <w:p>
      <w:pPr>
        <w:pStyle w:val="Normal"/>
        <w:rPr>
          <w:sz w:val="24"/>
          <w:lang w:eastAsia="en-US"/>
        </w:rPr>
      </w:pPr>
      <w:r>
        <w:rPr>
          <w:sz w:val="24"/>
          <w:lang w:eastAsia="en-US"/>
        </w:rPr>
        <w:t>of a conflict between such provisions and those of the Master Agreement,</w:t>
      </w:r>
    </w:p>
    <w:p>
      <w:pPr>
        <w:pStyle w:val="Normal"/>
        <w:rPr>
          <w:sz w:val="24"/>
          <w:lang w:eastAsia="en-US"/>
        </w:rPr>
      </w:pPr>
      <w:r>
        <w:rPr>
          <w:sz w:val="24"/>
          <w:lang w:eastAsia="en-US"/>
        </w:rPr>
        <w:t>provided, however, that the parties agree that Sections 5, 6, and 7 of the</w:t>
      </w:r>
    </w:p>
    <w:p>
      <w:pPr>
        <w:pStyle w:val="BodyText3"/>
        <w:rPr/>
      </w:pPr>
      <w:r>
        <w:rPr>
          <w:sz w:val="24"/>
          <w:lang w:eastAsia="en-US"/>
        </w:rPr>
        <w:t>Master Agreement shall not be applicable.</w:t>
      </w:r>
      <w:r>
        <w:rPr>
          <w:sz w:val="24"/>
        </w:rPr>
        <w:t xml:space="preserve"> </w:t>
      </w:r>
    </w:p>
    <w:p>
      <w:pPr>
        <w:pStyle w:val="Normal"/>
        <w:rPr>
          <w:sz w:val="24"/>
        </w:rPr>
      </w:pPr>
      <w:r>
        <w:rPr>
          <w:sz w:val="24"/>
        </w:rPr>
      </w:r>
    </w:p>
    <w:p>
      <w:pPr>
        <w:pStyle w:val="Normal"/>
        <w:rPr>
          <w:b/>
          <w:sz w:val="24"/>
        </w:rPr>
      </w:pPr>
      <w:r>
        <w:rPr>
          <w:b/>
          <w:sz w:val="24"/>
        </w:rPr>
        <w:t>2.</w:t>
        <w:tab/>
        <w:t>Terms of Transaction</w:t>
      </w:r>
    </w:p>
    <w:p>
      <w:pPr>
        <w:pStyle w:val="Normal"/>
        <w:rPr>
          <w:b/>
          <w:sz w:val="24"/>
        </w:rPr>
      </w:pPr>
      <w:r>
        <w:rPr>
          <w:b/>
          <w:sz w:val="24"/>
        </w:rPr>
      </w:r>
    </w:p>
    <w:p>
      <w:pPr>
        <w:pStyle w:val="Normal"/>
        <w:rPr>
          <w:sz w:val="24"/>
        </w:rPr>
      </w:pPr>
      <w:r>
        <w:rPr>
          <w:sz w:val="24"/>
        </w:rPr>
        <w:t>The Terms of the Transaction to which this Confirmation relates are as follows:</w:t>
      </w:r>
    </w:p>
    <w:p>
      <w:pPr>
        <w:pStyle w:val="Normal"/>
        <w:rPr>
          <w:sz w:val="24"/>
        </w:rPr>
      </w:pPr>
      <w:r>
        <w:rPr>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t xml:space="preserve">Total Notional Quantity </w:t>
      </w:r>
    </w:p>
    <w:p>
      <w:pPr>
        <w:pStyle w:val="Normal"/>
        <w:rPr>
          <w:b/>
          <w:sz w:val="24"/>
        </w:rPr>
      </w:pPr>
      <w:r>
        <w:rPr>
          <w:b/>
          <w:sz w:val="24"/>
        </w:rPr>
        <w:t xml:space="preserve">Per Zone per </w:t>
      </w:r>
    </w:p>
    <w:p>
      <w:pPr>
        <w:pStyle w:val="Normal"/>
        <w:ind w:hanging="2880" w:start="2880" w:end="0"/>
        <w:rPr/>
      </w:pPr>
      <w:r>
        <w:rPr>
          <w:b/>
          <w:sz w:val="24"/>
        </w:rPr>
        <w:t>Calculation Period:</w:t>
        <w:tab/>
      </w:r>
      <w:r>
        <w:rPr>
          <w:sz w:val="24"/>
        </w:rPr>
        <w:t>As set forth in Appendix A hereto.</w:t>
      </w:r>
    </w:p>
    <w:p>
      <w:pPr>
        <w:pStyle w:val="Normal"/>
        <w:rPr>
          <w:b/>
          <w:sz w:val="24"/>
        </w:rPr>
      </w:pPr>
      <w:r>
        <w:rPr>
          <w:b/>
          <w:sz w:val="24"/>
        </w:rPr>
      </w:r>
    </w:p>
    <w:p>
      <w:pPr>
        <w:pStyle w:val="Normal"/>
        <w:rPr>
          <w:b/>
          <w:sz w:val="24"/>
        </w:rPr>
      </w:pPr>
      <w:r>
        <w:rPr>
          <w:b/>
          <w:sz w:val="24"/>
        </w:rPr>
      </w:r>
    </w:p>
    <w:p>
      <w:pPr>
        <w:pStyle w:val="Normal"/>
        <w:rPr>
          <w:sz w:val="24"/>
        </w:rPr>
      </w:pPr>
      <w:r>
        <w:rPr>
          <w:sz w:val="24"/>
        </w:rPr>
      </w:r>
    </w:p>
    <w:p>
      <w:pPr>
        <w:pStyle w:val="Normal"/>
        <w:rPr/>
      </w:pPr>
      <w:r>
        <w:rPr>
          <w:b/>
          <w:sz w:val="24"/>
        </w:rPr>
        <w:t>Commodity:</w:t>
        <w:tab/>
        <w:tab/>
        <w:tab/>
      </w:r>
      <w:r>
        <w:rPr>
          <w:sz w:val="24"/>
        </w:rPr>
        <w:t>Electricity</w:t>
      </w:r>
    </w:p>
    <w:p>
      <w:pPr>
        <w:pStyle w:val="Normal"/>
        <w:rPr>
          <w:b/>
          <w:sz w:val="24"/>
        </w:rPr>
      </w:pPr>
      <w:r>
        <w:rPr>
          <w:b/>
          <w:sz w:val="24"/>
        </w:rPr>
      </w:r>
    </w:p>
    <w:p>
      <w:pPr>
        <w:pStyle w:val="Normal"/>
        <w:rPr/>
      </w:pPr>
      <w:r>
        <w:rPr>
          <w:b/>
          <w:sz w:val="24"/>
        </w:rPr>
        <w:t>Trade Date:</w:t>
        <w:tab/>
        <w:tab/>
        <w:tab/>
        <w:t>______</w:t>
      </w:r>
      <w:r>
        <w:rPr>
          <w:sz w:val="24"/>
        </w:rPr>
        <w:t>, 2000</w:t>
      </w:r>
    </w:p>
    <w:p>
      <w:pPr>
        <w:pStyle w:val="Normal"/>
        <w:ind w:hanging="2880" w:start="2880" w:end="-360"/>
        <w:rPr>
          <w:b/>
          <w:sz w:val="24"/>
        </w:rPr>
      </w:pPr>
      <w:r>
        <w:rPr>
          <w:b/>
          <w:sz w:val="24"/>
        </w:rPr>
      </w:r>
    </w:p>
    <w:p>
      <w:pPr>
        <w:pStyle w:val="Normal"/>
        <w:ind w:hanging="2880" w:start="2880" w:end="-360"/>
        <w:rPr>
          <w:b/>
          <w:sz w:val="24"/>
        </w:rPr>
      </w:pPr>
      <w:r>
        <w:rPr>
          <w:b/>
          <w:sz w:val="24"/>
        </w:rPr>
        <w:t>Effective Date:</w:t>
        <w:tab/>
        <w:t>______</w:t>
      </w:r>
      <w:r>
        <w:rPr>
          <w:sz w:val="24"/>
        </w:rPr>
        <w:t>, 2000</w:t>
      </w:r>
    </w:p>
    <w:p>
      <w:pPr>
        <w:pStyle w:val="Normal"/>
        <w:ind w:end="-360"/>
        <w:rPr>
          <w:b/>
          <w:sz w:val="24"/>
        </w:rPr>
      </w:pPr>
      <w:r>
        <w:rPr>
          <w:b/>
          <w:sz w:val="24"/>
        </w:rPr>
      </w:r>
    </w:p>
    <w:p>
      <w:pPr>
        <w:pStyle w:val="Normal"/>
        <w:ind w:hanging="2880" w:start="2880" w:end="-360"/>
        <w:rPr/>
      </w:pPr>
      <w:r>
        <w:rPr>
          <w:b/>
          <w:sz w:val="24"/>
        </w:rPr>
        <w:t>Termination Date:</w:t>
        <w:tab/>
        <w:t>______</w:t>
      </w:r>
      <w:r>
        <w:rPr>
          <w:sz w:val="24"/>
        </w:rPr>
        <w:t>, 2000</w:t>
      </w:r>
    </w:p>
    <w:p>
      <w:pPr>
        <w:pStyle w:val="Normal"/>
        <w:ind w:hanging="2880" w:start="2880" w:end="-360"/>
        <w:rPr>
          <w:sz w:val="24"/>
        </w:rPr>
      </w:pPr>
      <w:r>
        <w:rPr>
          <w:sz w:val="24"/>
        </w:rPr>
      </w:r>
    </w:p>
    <w:p>
      <w:pPr>
        <w:pStyle w:val="Normal"/>
        <w:ind w:hanging="2880" w:start="2880" w:end="-360"/>
        <w:rPr/>
      </w:pPr>
      <w:r>
        <w:rPr>
          <w:b/>
          <w:sz w:val="24"/>
        </w:rPr>
        <w:t>Calculation Period(s):</w:t>
      </w:r>
      <w:r>
        <w:rPr>
          <w:sz w:val="24"/>
        </w:rPr>
        <w:tab/>
        <w:t>Each Calendar Month period during the Term of Transaction.</w:t>
      </w:r>
    </w:p>
    <w:p>
      <w:pPr>
        <w:pStyle w:val="Normal"/>
        <w:ind w:hanging="2880" w:start="2880" w:end="-360"/>
        <w:rPr>
          <w:b/>
          <w:sz w:val="24"/>
        </w:rPr>
      </w:pPr>
      <w:r>
        <w:rPr>
          <w:b/>
          <w:sz w:val="24"/>
        </w:rPr>
      </w:r>
    </w:p>
    <w:p>
      <w:pPr>
        <w:pStyle w:val="Normal"/>
        <w:ind w:hanging="2880" w:start="2880" w:end="0"/>
        <w:rPr/>
      </w:pPr>
      <w:r>
        <w:rPr>
          <w:b/>
          <w:sz w:val="24"/>
        </w:rPr>
        <w:t>Payment Date(s):</w:t>
        <w:tab/>
      </w:r>
      <w:r>
        <w:rPr>
          <w:sz w:val="24"/>
        </w:rPr>
        <w:t>Ten (10) Business Days following each Calculation Period end date, subject to adjustment after six (6) months in accordance with the procedures of the New York Independent System Operator (“NYISO”).</w:t>
      </w:r>
    </w:p>
    <w:p>
      <w:pPr>
        <w:pStyle w:val="Normal"/>
        <w:ind w:hanging="2880" w:start="3600" w:end="-360"/>
        <w:rPr>
          <w:b/>
          <w:sz w:val="24"/>
        </w:rPr>
      </w:pPr>
      <w:r>
        <w:rPr>
          <w:b/>
          <w:sz w:val="24"/>
        </w:rPr>
      </w:r>
    </w:p>
    <w:p>
      <w:pPr>
        <w:pStyle w:val="Heading5"/>
        <w:ind w:hanging="0" w:start="0"/>
        <w:rPr>
          <w:rFonts w:ascii="Times New Roman" w:hAnsi="Times New Roman" w:cs="Times New Roman"/>
        </w:rPr>
      </w:pPr>
      <w:r>
        <w:rPr>
          <w:rFonts w:cs="Times New Roman" w:ascii="Times New Roman" w:hAnsi="Times New Roman"/>
        </w:rPr>
        <w:t>Fixed Amount Details</w:t>
      </w:r>
    </w:p>
    <w:p>
      <w:pPr>
        <w:pStyle w:val="Heading5"/>
        <w:ind w:hanging="0" w:start="0"/>
        <w:rPr>
          <w:rFonts w:ascii="Times New Roman" w:hAnsi="Times New Roman" w:cs="Times New Roman"/>
        </w:rPr>
      </w:pPr>
      <w:r>
        <w:rPr>
          <w:rFonts w:cs="Times New Roman" w:ascii="Times New Roman" w:hAnsi="Times New Roman"/>
        </w:rPr>
      </w:r>
    </w:p>
    <w:p>
      <w:pPr>
        <w:pStyle w:val="Normal"/>
        <w:rPr/>
      </w:pPr>
      <w:r>
        <w:rPr>
          <w:b/>
          <w:sz w:val="24"/>
        </w:rPr>
        <w:t>Fixed Price Payer:</w:t>
        <w:tab/>
        <w:tab/>
      </w:r>
      <w:r>
        <w:rPr>
          <w:sz w:val="24"/>
        </w:rPr>
        <w:t>NYPA</w:t>
      </w:r>
    </w:p>
    <w:p>
      <w:pPr>
        <w:pStyle w:val="Normal"/>
        <w:rPr>
          <w:b/>
          <w:sz w:val="24"/>
        </w:rPr>
      </w:pPr>
      <w:r>
        <w:rPr>
          <w:b/>
          <w:sz w:val="24"/>
        </w:rPr>
      </w:r>
    </w:p>
    <w:p>
      <w:pPr>
        <w:pStyle w:val="BodyText"/>
        <w:ind w:hanging="2880" w:start="2880" w:end="0"/>
        <w:rPr/>
      </w:pPr>
      <w:r>
        <w:rPr>
          <w:b/>
        </w:rPr>
        <w:t>Fixed Price:</w:t>
        <w:tab/>
      </w:r>
      <w:r>
        <w:rPr/>
        <w:t>As set forth in Appendix A hereto, in units of dollars per megawatt-hour.</w:t>
      </w:r>
    </w:p>
    <w:p>
      <w:pPr>
        <w:pStyle w:val="Normal"/>
        <w:rPr>
          <w:b/>
          <w:sz w:val="24"/>
        </w:rPr>
      </w:pPr>
      <w:r>
        <w:rPr>
          <w:b/>
          <w:sz w:val="24"/>
        </w:rPr>
      </w:r>
    </w:p>
    <w:p>
      <w:pPr>
        <w:pStyle w:val="Heading5"/>
        <w:ind w:hanging="0" w:start="0"/>
        <w:rPr>
          <w:rFonts w:ascii="Times New Roman" w:hAnsi="Times New Roman" w:cs="Times New Roman"/>
        </w:rPr>
      </w:pPr>
      <w:r>
        <w:rPr>
          <w:rFonts w:cs="Times New Roman" w:ascii="Times New Roman" w:hAnsi="Times New Roman"/>
        </w:rPr>
        <w:t>Floating Amount Details</w:t>
      </w:r>
    </w:p>
    <w:p>
      <w:pPr>
        <w:pStyle w:val="Normal"/>
        <w:rPr>
          <w:rFonts w:ascii="Times New Roman" w:hAnsi="Times New Roman" w:cs="Times New Roman"/>
          <w:b/>
          <w:sz w:val="24"/>
          <w:u w:val="single"/>
        </w:rPr>
      </w:pPr>
      <w:r>
        <w:rPr>
          <w:rFonts w:cs="Times New Roman"/>
          <w:b/>
          <w:sz w:val="24"/>
          <w:u w:val="single"/>
        </w:rPr>
      </w:r>
    </w:p>
    <w:p>
      <w:pPr>
        <w:pStyle w:val="Normal"/>
        <w:rPr/>
      </w:pPr>
      <w:r>
        <w:rPr>
          <w:b/>
          <w:sz w:val="24"/>
        </w:rPr>
        <w:t>Floating Price Payer:</w:t>
        <w:tab/>
      </w:r>
      <w:r>
        <w:rPr>
          <w:sz w:val="24"/>
        </w:rPr>
        <w:t>Counterparty</w:t>
      </w:r>
    </w:p>
    <w:p>
      <w:pPr>
        <w:pStyle w:val="Normal"/>
        <w:rPr>
          <w:b/>
          <w:sz w:val="24"/>
        </w:rPr>
      </w:pPr>
      <w:r>
        <w:rPr>
          <w:b/>
          <w:sz w:val="24"/>
        </w:rPr>
      </w:r>
    </w:p>
    <w:p>
      <w:pPr>
        <w:pStyle w:val="Heading9"/>
        <w:ind w:hanging="0" w:start="0"/>
        <w:rPr>
          <w:rFonts w:ascii="Times New Roman" w:hAnsi="Times New Roman" w:cs="Times New Roman"/>
        </w:rPr>
      </w:pPr>
      <w:r>
        <w:rPr>
          <w:rFonts w:cs="Times New Roman" w:ascii="Times New Roman" w:hAnsi="Times New Roman"/>
        </w:rPr>
        <w:t>Commodity Reference</w:t>
      </w:r>
    </w:p>
    <w:p>
      <w:pPr>
        <w:pStyle w:val="Heading2"/>
        <w:ind w:hanging="2880" w:start="2880" w:end="0"/>
        <w:rPr/>
      </w:pPr>
      <w:r>
        <w:rPr>
          <w:b/>
        </w:rPr>
        <w:t>Price:</w:t>
        <w:tab/>
      </w:r>
      <w:r>
        <w:rPr/>
        <w:t>NYISO Day Ahead Market LBMP - Zonal.  The applicable Zone shall be as specified in Appendix A hereto.</w:t>
      </w:r>
    </w:p>
    <w:p>
      <w:pPr>
        <w:pStyle w:val="Normal"/>
        <w:rPr>
          <w:b/>
          <w:sz w:val="24"/>
        </w:rPr>
      </w:pPr>
      <w:r>
        <w:rPr>
          <w:b/>
          <w:sz w:val="24"/>
        </w:rPr>
      </w:r>
    </w:p>
    <w:p>
      <w:pPr>
        <w:pStyle w:val="Heading2"/>
        <w:ind w:hanging="2880" w:start="2880" w:end="0"/>
        <w:rPr/>
      </w:pPr>
      <w:r>
        <w:rPr>
          <w:b/>
        </w:rPr>
        <w:t>Floating Price:</w:t>
        <w:tab/>
      </w:r>
      <w:r>
        <w:rPr/>
        <w:t>NYISO Day Ahead Market LBMP - Zonal.  The applicable Zone shall be as specified in Appendix A hereto.</w:t>
      </w:r>
    </w:p>
    <w:p>
      <w:pPr>
        <w:pStyle w:val="Normal"/>
        <w:rPr>
          <w:b/>
          <w:sz w:val="24"/>
        </w:rPr>
      </w:pPr>
      <w:r>
        <w:rPr>
          <w:b/>
          <w:sz w:val="24"/>
        </w:rPr>
      </w:r>
    </w:p>
    <w:p>
      <w:pPr>
        <w:pStyle w:val="Normal"/>
        <w:ind w:hanging="2880" w:start="2880" w:end="0"/>
        <w:rPr/>
      </w:pPr>
      <w:r>
        <w:rPr>
          <w:b/>
          <w:sz w:val="24"/>
        </w:rPr>
        <w:t>Rounding:</w:t>
      </w:r>
      <w:r>
        <w:rPr>
          <w:sz w:val="24"/>
        </w:rPr>
        <w:tab/>
        <w:t>Two Decimal Places</w:t>
      </w:r>
    </w:p>
    <w:p>
      <w:pPr>
        <w:pStyle w:val="Normal"/>
        <w:ind w:hanging="3600" w:start="3600" w:end="0"/>
        <w:rPr>
          <w:b/>
          <w:sz w:val="24"/>
        </w:rPr>
      </w:pPr>
      <w:r>
        <w:rPr>
          <w:b/>
          <w:sz w:val="24"/>
        </w:rPr>
      </w:r>
    </w:p>
    <w:p>
      <w:pPr>
        <w:pStyle w:val="BodyTextIndent2"/>
        <w:rPr/>
      </w:pPr>
      <w:r>
        <w:rPr>
          <w:rFonts w:cs="Times New Roman" w:ascii="Times New Roman" w:hAnsi="Times New Roman"/>
          <w:b/>
        </w:rPr>
        <w:t>Market Disruption Events:</w:t>
      </w:r>
      <w:r>
        <w:rPr>
          <w:rFonts w:cs="Times New Roman" w:ascii="Times New Roman" w:hAnsi="Times New Roman"/>
        </w:rPr>
        <w:tab/>
        <w:t>Price Source Disruption; Trading Suspension; Disappearance of Commodity Reference Price; Tax Disruption and Trading Limitation.</w:t>
      </w:r>
    </w:p>
    <w:p>
      <w:pPr>
        <w:pStyle w:val="Normal"/>
        <w:ind w:hanging="2880" w:start="2880" w:end="0"/>
        <w:rPr>
          <w:rFonts w:ascii="Times New Roman" w:hAnsi="Times New Roman" w:cs="Times New Roman"/>
          <w:sz w:val="24"/>
        </w:rPr>
      </w:pPr>
      <w:r>
        <w:rPr>
          <w:rFonts w:cs="Times New Roman"/>
          <w:sz w:val="24"/>
        </w:rPr>
      </w:r>
    </w:p>
    <w:p>
      <w:pPr>
        <w:pStyle w:val="Normal"/>
        <w:ind w:hanging="2880" w:start="2880" w:end="0"/>
        <w:jc w:val="both"/>
        <w:rPr/>
      </w:pPr>
      <w:r>
        <w:rPr>
          <w:b/>
          <w:sz w:val="24"/>
        </w:rPr>
        <w:t>Disruption Fallbacks:</w:t>
      </w:r>
      <w:r>
        <w:rPr>
          <w:sz w:val="24"/>
        </w:rPr>
        <w:tab/>
        <w:t>The first fallback position will be a Negotiated Fallback, in which the Parties will attempt to negotiate in good faith.  The second fallback position will be a Disruption Fallback, which is to be Real-Time Pricing from the NYISO.  The third and final fallback position will be No Fault Termination.  This third fallback position will only take effect on the days upon which the NYISO declares a Phase II Emergency of the Cutback Operation.</w:t>
      </w:r>
    </w:p>
    <w:p>
      <w:pPr>
        <w:pStyle w:val="Normal"/>
        <w:ind w:hanging="2880" w:start="2880" w:end="0"/>
        <w:rPr>
          <w:sz w:val="24"/>
        </w:rPr>
      </w:pPr>
      <w:r>
        <w:rPr>
          <w:sz w:val="24"/>
        </w:rPr>
      </w:r>
    </w:p>
    <w:p>
      <w:pPr>
        <w:pStyle w:val="Heading4"/>
        <w:rPr/>
      </w:pPr>
      <w:r>
        <w:rPr/>
        <w:t>Cash Settlement Terms</w:t>
      </w:r>
    </w:p>
    <w:p>
      <w:pPr>
        <w:pStyle w:val="Normal"/>
        <w:ind w:hanging="1440" w:start="1440" w:end="0"/>
        <w:rPr>
          <w:sz w:val="24"/>
        </w:rPr>
      </w:pPr>
      <w:r>
        <w:rPr>
          <w:sz w:val="24"/>
        </w:rPr>
      </w:r>
    </w:p>
    <w:p>
      <w:pPr>
        <w:pStyle w:val="Normal"/>
        <w:ind w:hanging="1440" w:start="1440" w:end="0"/>
        <w:rPr/>
      </w:pPr>
      <w:r>
        <w:rPr>
          <w:b/>
          <w:sz w:val="24"/>
        </w:rPr>
        <w:t>Cash Settlement:</w:t>
      </w:r>
      <w:r>
        <w:rPr>
          <w:sz w:val="24"/>
        </w:rPr>
        <w:tab/>
        <w:t>Applicable</w:t>
      </w:r>
    </w:p>
    <w:p>
      <w:pPr>
        <w:pStyle w:val="Normal"/>
        <w:ind w:hanging="1440" w:start="1440" w:end="0"/>
        <w:rPr>
          <w:sz w:val="24"/>
        </w:rPr>
      </w:pPr>
      <w:r>
        <w:rPr>
          <w:sz w:val="24"/>
        </w:rPr>
      </w:r>
    </w:p>
    <w:p>
      <w:pPr>
        <w:pStyle w:val="Normal"/>
        <w:ind w:hanging="2160" w:start="2160" w:end="0"/>
        <w:rPr/>
      </w:pPr>
      <w:r>
        <w:rPr>
          <w:b/>
          <w:sz w:val="24"/>
        </w:rPr>
        <w:t>Settlement:</w:t>
      </w:r>
      <w:r>
        <w:rPr>
          <w:sz w:val="24"/>
        </w:rPr>
        <w:tab/>
        <w:t>Ten (10) Business Days following each Calculation Period end date, subject to adjustment after six (6) months in accordance with the procedures of the New York Independent System Operator (“NYISO”).</w:t>
      </w:r>
    </w:p>
    <w:p>
      <w:pPr>
        <w:pStyle w:val="Normal"/>
        <w:ind w:hanging="2160" w:start="2160" w:end="0"/>
        <w:rPr>
          <w:sz w:val="24"/>
        </w:rPr>
      </w:pPr>
      <w:r>
        <w:rPr>
          <w:sz w:val="24"/>
        </w:rPr>
      </w:r>
    </w:p>
    <w:p>
      <w:pPr>
        <w:pStyle w:val="Normal"/>
        <w:ind w:hanging="2160" w:start="2160" w:end="0"/>
        <w:rPr/>
      </w:pPr>
      <w:r>
        <w:rPr>
          <w:b/>
          <w:sz w:val="24"/>
        </w:rPr>
        <w:t>Rounding:</w:t>
      </w:r>
      <w:r>
        <w:rPr>
          <w:sz w:val="24"/>
        </w:rPr>
        <w:tab/>
        <w:t>The Floating Price will be rounded to the second (2nd) decimal place.</w:t>
      </w:r>
    </w:p>
    <w:p>
      <w:pPr>
        <w:pStyle w:val="Normal"/>
        <w:ind w:hanging="2160" w:start="2160" w:end="0"/>
        <w:rPr>
          <w:sz w:val="24"/>
        </w:rPr>
      </w:pPr>
      <w:r>
        <w:rPr>
          <w:sz w:val="24"/>
        </w:rPr>
      </w:r>
    </w:p>
    <w:p>
      <w:pPr>
        <w:pStyle w:val="Normal"/>
        <w:ind w:hanging="2160" w:start="2160" w:end="0"/>
        <w:rPr/>
      </w:pPr>
      <w:r>
        <w:rPr>
          <w:b/>
          <w:sz w:val="24"/>
        </w:rPr>
        <w:t>Calculation Agent:</w:t>
      </w:r>
      <w:r>
        <w:rPr>
          <w:sz w:val="24"/>
        </w:rPr>
        <w:tab/>
        <w:t>NEW YORK POWER AUTHORITY</w:t>
      </w:r>
    </w:p>
    <w:p>
      <w:pPr>
        <w:pStyle w:val="Normal"/>
        <w:ind w:hanging="2160" w:start="2160" w:end="0"/>
        <w:rPr>
          <w:sz w:val="24"/>
        </w:rPr>
      </w:pPr>
      <w:r>
        <w:rPr>
          <w:sz w:val="24"/>
        </w:rPr>
        <w:t xml:space="preserve"> </w:t>
      </w:r>
    </w:p>
    <w:p>
      <w:pPr>
        <w:pStyle w:val="Normal"/>
        <w:ind w:hanging="2160" w:start="2160" w:end="0"/>
        <w:rPr/>
      </w:pPr>
      <w:r>
        <w:rPr>
          <w:b/>
          <w:sz w:val="24"/>
        </w:rPr>
        <w:t>Business Day:</w:t>
      </w:r>
      <w:r>
        <w:rPr>
          <w:sz w:val="24"/>
        </w:rPr>
        <w:tab/>
        <w:t>Any day on which Federal Reserve member banks in New York City are open for business</w:t>
      </w:r>
    </w:p>
    <w:p>
      <w:pPr>
        <w:pStyle w:val="Normal"/>
        <w:ind w:hanging="2880" w:start="2880" w:end="0"/>
        <w:rPr>
          <w:sz w:val="24"/>
        </w:rPr>
      </w:pPr>
      <w:r>
        <w:rPr>
          <w:sz w:val="24"/>
        </w:rPr>
      </w:r>
    </w:p>
    <w:p>
      <w:pPr>
        <w:pStyle w:val="Normal"/>
        <w:rPr>
          <w:b/>
          <w:sz w:val="24"/>
        </w:rPr>
      </w:pPr>
      <w:r>
        <w:rPr>
          <w:b/>
          <w:sz w:val="24"/>
        </w:rPr>
      </w:r>
    </w:p>
    <w:p>
      <w:pPr>
        <w:pStyle w:val="Normal"/>
        <w:keepNext w:val="true"/>
        <w:rPr>
          <w:b/>
          <w:sz w:val="24"/>
        </w:rPr>
      </w:pPr>
      <w:r>
        <w:rPr>
          <w:b/>
          <w:sz w:val="24"/>
        </w:rPr>
        <w:t xml:space="preserve">3.  </w:t>
        <w:tab/>
        <w:t>Definitions</w:t>
      </w:r>
    </w:p>
    <w:p>
      <w:pPr>
        <w:pStyle w:val="Normal"/>
        <w:keepNext w:val="true"/>
        <w:rPr>
          <w:b/>
          <w:sz w:val="24"/>
        </w:rPr>
      </w:pPr>
      <w:r>
        <w:rPr>
          <w:b/>
          <w:sz w:val="24"/>
        </w:rPr>
      </w:r>
    </w:p>
    <w:p>
      <w:pPr>
        <w:pStyle w:val="Normal"/>
        <w:keepNext w:val="true"/>
        <w:rPr>
          <w:sz w:val="24"/>
        </w:rPr>
      </w:pPr>
      <w:r>
        <w:rPr>
          <w:sz w:val="24"/>
        </w:rPr>
        <w:t>All terms in this Confirmation not defined herein shall have the meanings set forth in the 1991 ISDA Definitions and the 1993 ISDA Commodity Derivatives Definitions.  In the event of any conflict between the provisions of the Master Agreement and the provisions of the Definitions, the provisions of the Master Agreement shall apply, and in the event of any conflict between the provisions of the Master Agreement and this Confirmation, the provisions of this Confirmation shall apply.  For purposes of the Master Agreement, all references in the Definitions to “Swap Transaction” shall be deemed references to any Transaction under the Master Agreement.</w:t>
      </w:r>
    </w:p>
    <w:p>
      <w:pPr>
        <w:pStyle w:val="Normal"/>
        <w:rPr>
          <w:sz w:val="24"/>
        </w:rPr>
      </w:pPr>
      <w:r>
        <w:rPr>
          <w:sz w:val="24"/>
        </w:rPr>
      </w:r>
    </w:p>
    <w:p>
      <w:pPr>
        <w:pStyle w:val="Normal"/>
        <w:rPr>
          <w:b/>
          <w:sz w:val="24"/>
        </w:rPr>
      </w:pPr>
      <w:r>
        <w:rPr>
          <w:b/>
          <w:sz w:val="24"/>
        </w:rPr>
        <w:t>4.</w:t>
        <w:tab/>
        <w:t>Settlement and Payment</w:t>
      </w:r>
    </w:p>
    <w:p>
      <w:pPr>
        <w:pStyle w:val="Normal"/>
        <w:rPr>
          <w:b/>
          <w:sz w:val="24"/>
        </w:rPr>
      </w:pPr>
      <w:r>
        <w:rPr>
          <w:b/>
          <w:sz w:val="24"/>
        </w:rPr>
      </w:r>
    </w:p>
    <w:p>
      <w:pPr>
        <w:pStyle w:val="BodyText3"/>
        <w:rPr>
          <w:sz w:val="24"/>
        </w:rPr>
      </w:pPr>
      <w:r>
        <w:rPr>
          <w:sz w:val="24"/>
        </w:rPr>
        <w:t>Promptly after the last business day of each calculation period, NYPA shall calculate the net Fixed Amount or the net Floating Amount for such Calculation Period and shall notify Counterparty of such amount and the Party owing such amount.  The net Fixed Amount and the net Floating Amount shall be calculated using the methodology set forth in Section 2(c) of the Master Agreement, as applied to the Fixed Price and Floating Price payments.  If NYPA fails to promptly so notify Counterparty, Counterparty shall determine such amount and shall make payment or give notice to NYPA accordingly.</w:t>
      </w:r>
    </w:p>
    <w:p>
      <w:pPr>
        <w:pStyle w:val="Normal"/>
        <w:rPr>
          <w:sz w:val="24"/>
        </w:rPr>
      </w:pPr>
      <w:r>
        <w:rPr>
          <w:sz w:val="24"/>
        </w:rPr>
      </w:r>
    </w:p>
    <w:p>
      <w:pPr>
        <w:pStyle w:val="BodyText3"/>
        <w:rPr>
          <w:sz w:val="24"/>
        </w:rPr>
      </w:pPr>
      <w:r>
        <w:rPr>
          <w:sz w:val="24"/>
        </w:rPr>
        <w:t xml:space="preserve">No later than 12:00 noon EPT, ten (10) Business Days after such Calculation Period, the Fixed Price Payer shall pay the net Fixed Amount to the Floating Price Payer, or the Floating Price Payer shall pay the net Floating Amount to the Fixed Price Payer.  Payment shall be made without offset, deduction, discount or counterclaim (except as provided in Section 6 below or unless one Party has raised a dispute with respect to the calculation), in US dollars in immediately available funds to the bank account in New York, New York designated by the Party to which payment is due in an invoice or other written notice. Any amount not paid when due shall accrue interest at the rate of two percent (2%) above the prime rate published by the Wall Street Journal, compounded annually from the due date, or the maximum rate allowed by law, if lower. </w:t>
      </w:r>
    </w:p>
    <w:p>
      <w:pPr>
        <w:pStyle w:val="BodyText3"/>
        <w:rPr>
          <w:sz w:val="24"/>
        </w:rPr>
      </w:pPr>
      <w:r>
        <w:rPr>
          <w:sz w:val="24"/>
        </w:rPr>
      </w:r>
    </w:p>
    <w:p>
      <w:pPr>
        <w:pStyle w:val="BodyText3"/>
        <w:rPr>
          <w:sz w:val="24"/>
        </w:rPr>
      </w:pPr>
      <w:r>
        <w:rPr>
          <w:sz w:val="24"/>
        </w:rPr>
        <w:t>If the Fixed Price Payer or the Floating Price Payer, in good faith, disputes any part of an invoice or calculation, it shall provide a written explanation of the basis for the dispute and pay the undisputed portion of such amount no later than the due date.  If any amount disputed is determined to be due to either the Fixed Price Payer or the Floating Price Payer, it shall be paid within ten (10) Business Days of such determination, along with any interest owing from the original due date until the date paid. The existence of a dispute as to any statement or calculation shall not relieve either Party of compliance with any other provisions of this Agreement.</w:t>
      </w:r>
    </w:p>
    <w:p>
      <w:pPr>
        <w:pStyle w:val="Normal"/>
        <w:rPr>
          <w:b/>
          <w:sz w:val="24"/>
        </w:rPr>
      </w:pPr>
      <w:r>
        <w:rPr>
          <w:b/>
          <w:sz w:val="24"/>
        </w:rPr>
      </w:r>
    </w:p>
    <w:p>
      <w:pPr>
        <w:pStyle w:val="Normal"/>
        <w:rPr>
          <w:b/>
          <w:sz w:val="24"/>
        </w:rPr>
      </w:pPr>
      <w:r>
        <w:rPr>
          <w:b/>
          <w:sz w:val="24"/>
        </w:rPr>
        <w:t>5.</w:t>
        <w:tab/>
        <w:t>Representations and Warranties</w:t>
      </w:r>
    </w:p>
    <w:p>
      <w:pPr>
        <w:pStyle w:val="Normal"/>
        <w:rPr>
          <w:b/>
          <w:sz w:val="24"/>
        </w:rPr>
      </w:pPr>
      <w:r>
        <w:rPr>
          <w:b/>
          <w:sz w:val="24"/>
        </w:rPr>
      </w:r>
    </w:p>
    <w:p>
      <w:pPr>
        <w:pStyle w:val="Normal"/>
        <w:jc w:val="both"/>
        <w:rPr>
          <w:sz w:val="24"/>
        </w:rPr>
      </w:pPr>
      <w:r>
        <w:rPr>
          <w:sz w:val="24"/>
        </w:rPr>
        <w:t>Each Party represents and warrants to the other Party as of the date hereof that:</w:t>
      </w:r>
    </w:p>
    <w:p>
      <w:pPr>
        <w:pStyle w:val="Normal"/>
        <w:jc w:val="both"/>
        <w:rPr>
          <w:sz w:val="24"/>
        </w:rPr>
      </w:pPr>
      <w:r>
        <w:rPr>
          <w:sz w:val="24"/>
        </w:rPr>
      </w:r>
    </w:p>
    <w:p>
      <w:pPr>
        <w:pStyle w:val="Normal"/>
        <w:tabs>
          <w:tab w:val="clear" w:pos="720"/>
          <w:tab w:val="left" w:pos="360" w:leader="none"/>
        </w:tabs>
        <w:jc w:val="both"/>
        <w:rPr>
          <w:sz w:val="24"/>
        </w:rPr>
      </w:pPr>
      <w:r>
        <w:rPr>
          <w:sz w:val="24"/>
        </w:rPr>
        <w:t>a.</w:t>
        <w:tab/>
        <w:t>It is duly organized and existing under the laws of the jurisdiction of its organization and has full power and legal right to execute, deliver and perform this Agreement.</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b.</w:t>
        <w:tab/>
        <w:t>Its execution, delivery and performance of this Agreement has been duly authorized by all necessary actions and do not contravene any legal or contractual restriction binding on or affecting it, and the person signing this confirmation is authorized and empowered to do so.</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c.</w:t>
        <w:tab/>
        <w:t>It has obtained or submitted any authorization or approval or other action by, or notice to or filing with, any governmental authority or regulatory body that is required for the due execution, delivery and performance of this Agreement.</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d.</w:t>
        <w:tab/>
        <w:t>This Agreement constitutes its valid and legally binding obligations enforceable against it in accordance with its terms, except as may be limited by bankruptcy, reorganization, moratorium or similar laws affecting creditors’ rights generally.</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e.</w:t>
        <w:tab/>
        <w:t>No Event of Default (as defined below), or event which with notice and/or lapse of time would constitute an Event of Default, has occurred with respect to it.</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f.</w:t>
        <w:tab/>
        <w:t>No litigation, arbitration or administrative proceeding is current or pending or, so far as it is aware, threatened against it which would, if adversely determined, have a material adverse effect on its ability to perform its obligations hereunder.</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g.</w:t>
        <w:tab/>
        <w:t>It has entered into this Agreement in connection with its line of business (including financial intermediation services) and the terms hereof have been individually tailored and negotiated at arms length between the Parties.</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h.</w:t>
        <w:tab/>
        <w:t>It is an “Eligible Swap Participant” as defined in CFTC Rule 35.1</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i.</w:t>
        <w:tab/>
        <w:t>It is not relying upon any representations of the other Party other than those expressly set forth herein or any written guarantee of the obligations hereof.</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j.</w:t>
        <w:tab/>
        <w:t>It has entered into this Agreement as principal (and not as agent or in any other capacity, fiduciary or otherwise).</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k.</w:t>
        <w:tab/>
        <w:t>It has entered into this Agreement with a full understanding of the material terms and risks hereof, and it is capable of assuming those risks.</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l.</w:t>
        <w:tab/>
        <w:t>It has made its investment and trading decisions (including regarding the suitability hereof) based upon its own judgment and any advice from such advisors as it has deemed necessary, and not in reliance upon any view expressed by the other Party.</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m.</w:t>
        <w:tab/>
        <w:t>The other Party is not acting as a fiduciary or an advisor for it, nor has given to it any assurance or guarantee as to the expected performance or result of this Agreement.</w:t>
      </w:r>
    </w:p>
    <w:p>
      <w:pPr>
        <w:pStyle w:val="Normal"/>
        <w:tabs>
          <w:tab w:val="clear" w:pos="720"/>
          <w:tab w:val="left" w:pos="360" w:leader="none"/>
        </w:tabs>
        <w:jc w:val="both"/>
        <w:rPr>
          <w:sz w:val="24"/>
        </w:rPr>
      </w:pPr>
      <w:r>
        <w:rPr>
          <w:sz w:val="24"/>
        </w:rPr>
      </w:r>
    </w:p>
    <w:p>
      <w:pPr>
        <w:pStyle w:val="Normal"/>
        <w:tabs>
          <w:tab w:val="clear" w:pos="720"/>
          <w:tab w:val="left" w:pos="360" w:leader="none"/>
        </w:tabs>
        <w:jc w:val="both"/>
        <w:rPr>
          <w:sz w:val="24"/>
        </w:rPr>
      </w:pPr>
      <w:r>
        <w:rPr>
          <w:sz w:val="24"/>
        </w:rPr>
        <w:t>n.</w:t>
        <w:tab/>
        <w:t>It is a producer, processor, merchant or commercial end user of the commodity that is the subject of this Transaction and is entering into it solely for purposes related to said business.</w:t>
      </w:r>
    </w:p>
    <w:p>
      <w:pPr>
        <w:pStyle w:val="Normal"/>
        <w:jc w:val="both"/>
        <w:rPr>
          <w:sz w:val="24"/>
        </w:rPr>
      </w:pPr>
      <w:r>
        <w:rPr>
          <w:sz w:val="24"/>
        </w:rPr>
      </w:r>
    </w:p>
    <w:p>
      <w:pPr>
        <w:pStyle w:val="Normal"/>
        <w:jc w:val="both"/>
        <w:rPr>
          <w:b/>
          <w:sz w:val="24"/>
        </w:rPr>
      </w:pPr>
      <w:r>
        <w:rPr>
          <w:b/>
          <w:sz w:val="24"/>
        </w:rPr>
        <w:t xml:space="preserve">6.  </w:t>
        <w:tab/>
        <w:t>Non-Performance</w:t>
      </w:r>
    </w:p>
    <w:p>
      <w:pPr>
        <w:pStyle w:val="Normal"/>
        <w:jc w:val="both"/>
        <w:rPr>
          <w:b/>
          <w:sz w:val="24"/>
        </w:rPr>
      </w:pPr>
      <w:r>
        <w:rPr>
          <w:b/>
          <w:sz w:val="24"/>
        </w:rPr>
      </w:r>
    </w:p>
    <w:p>
      <w:pPr>
        <w:pStyle w:val="Normal"/>
        <w:jc w:val="both"/>
        <w:rPr>
          <w:sz w:val="24"/>
        </w:rPr>
      </w:pPr>
      <w:r>
        <w:rPr>
          <w:sz w:val="24"/>
        </w:rPr>
        <w:t>a.  The occurrence at any time with respect to either Party or, if the obligations of such Party hereunder are guaranteed by a third Party (its “Guarantor”), with respect to its Guarantor, of any of the following events constitutes an event of default (“Event of Default”) with respect to such Party (the “Defaulting Party”)</w:t>
      </w:r>
    </w:p>
    <w:p>
      <w:pPr>
        <w:pStyle w:val="Normal"/>
        <w:jc w:val="both"/>
        <w:rPr>
          <w:sz w:val="24"/>
        </w:rPr>
      </w:pPr>
      <w:r>
        <w:rPr>
          <w:sz w:val="24"/>
        </w:rPr>
      </w:r>
    </w:p>
    <w:p>
      <w:pPr>
        <w:pStyle w:val="Normal"/>
        <w:ind w:start="720" w:end="0"/>
        <w:jc w:val="both"/>
        <w:rPr>
          <w:sz w:val="24"/>
        </w:rPr>
      </w:pPr>
      <w:r>
        <w:rPr>
          <w:sz w:val="24"/>
        </w:rPr>
        <w:t>i.  The Defaulting Party fails to pay or perform any obligation when due hereunder or under any other commodity swap, option, cap, floor, collar, forward or similar transaction between the Parties (“Other Commodity Transactions”), and such failure continues, after receipt of written notice thereof, for more than two (2) Business Days in the case of non-payment (including, without limitation, non-payment of collateral) and (5) Business Days in the case of any other such obligation under this Agreement.  If the failure to perform such obligation is for Other Commodity Transactions and arises under a separate agreement for such Commodity Transactions, then the notice and termination period in such agreements shall govern.</w:t>
      </w:r>
    </w:p>
    <w:p>
      <w:pPr>
        <w:pStyle w:val="Normal"/>
        <w:jc w:val="both"/>
        <w:rPr>
          <w:sz w:val="24"/>
        </w:rPr>
      </w:pPr>
      <w:r>
        <w:rPr>
          <w:sz w:val="24"/>
        </w:rPr>
      </w:r>
    </w:p>
    <w:p>
      <w:pPr>
        <w:pStyle w:val="Normal"/>
        <w:ind w:start="720" w:end="0"/>
        <w:jc w:val="both"/>
        <w:rPr>
          <w:sz w:val="24"/>
        </w:rPr>
      </w:pPr>
      <w:r>
        <w:rPr>
          <w:sz w:val="24"/>
        </w:rPr>
        <w:t>ii.  The Defaulting Party or its Guarantor repudiates its obligations hereunder or under the guarantee, as the case may be.</w:t>
      </w:r>
    </w:p>
    <w:p>
      <w:pPr>
        <w:pStyle w:val="Normal"/>
        <w:jc w:val="both"/>
        <w:rPr>
          <w:sz w:val="24"/>
        </w:rPr>
      </w:pPr>
      <w:r>
        <w:rPr>
          <w:sz w:val="24"/>
        </w:rPr>
      </w:r>
    </w:p>
    <w:p>
      <w:pPr>
        <w:pStyle w:val="Normal"/>
        <w:ind w:start="720" w:end="0"/>
        <w:jc w:val="both"/>
        <w:rPr>
          <w:sz w:val="24"/>
        </w:rPr>
      </w:pPr>
      <w:r>
        <w:rPr>
          <w:sz w:val="24"/>
        </w:rPr>
        <w:t>iii.  Any representation or warranty made by the Defaulting Party hereunder, or by the Guarantor under the Guarantee, proves to have been false or misleading in any material respect as of the time it was a made.</w:t>
      </w:r>
    </w:p>
    <w:p>
      <w:pPr>
        <w:pStyle w:val="Normal"/>
        <w:jc w:val="both"/>
        <w:rPr>
          <w:sz w:val="24"/>
        </w:rPr>
      </w:pPr>
      <w:r>
        <w:rPr>
          <w:sz w:val="24"/>
        </w:rPr>
      </w:r>
    </w:p>
    <w:p>
      <w:pPr>
        <w:pStyle w:val="Normal"/>
        <w:ind w:start="720" w:end="0"/>
        <w:jc w:val="both"/>
        <w:rPr>
          <w:sz w:val="24"/>
        </w:rPr>
      </w:pPr>
      <w:r>
        <w:rPr>
          <w:sz w:val="24"/>
        </w:rPr>
        <w:t>iv.  The Defaulting Party or its Guarantor becomes bankrupt or insolvent, however evidenced, or is unable (or admits in writing its inability) generally to pay its debts as they become due, or makes a general assignment for the benefits of its creditors.</w:t>
      </w:r>
    </w:p>
    <w:p>
      <w:pPr>
        <w:pStyle w:val="Normal"/>
        <w:jc w:val="both"/>
        <w:rPr>
          <w:sz w:val="24"/>
        </w:rPr>
      </w:pPr>
      <w:r>
        <w:rPr>
          <w:sz w:val="24"/>
        </w:rPr>
      </w:r>
    </w:p>
    <w:p>
      <w:pPr>
        <w:pStyle w:val="Normal"/>
        <w:ind w:start="720" w:end="0"/>
        <w:jc w:val="both"/>
        <w:rPr>
          <w:sz w:val="24"/>
        </w:rPr>
      </w:pPr>
      <w:r>
        <w:rPr>
          <w:sz w:val="24"/>
        </w:rPr>
        <w:t>v.  The Defaulting Party or its Guarantor files or otherwise commences, or has filed or commenced against it, a proceeding under any bankruptcy, insolvency, reorganization or similar law for the protection of creditors, or the application for appointment of a receiver, custodian or similar person, or the passing of a resolution for winding up of liquidation by it or on its behalf.</w:t>
      </w:r>
    </w:p>
    <w:p>
      <w:pPr>
        <w:pStyle w:val="Normal"/>
        <w:jc w:val="both"/>
        <w:rPr>
          <w:sz w:val="24"/>
        </w:rPr>
      </w:pPr>
      <w:r>
        <w:rPr>
          <w:sz w:val="24"/>
        </w:rPr>
      </w:r>
    </w:p>
    <w:p>
      <w:pPr>
        <w:pStyle w:val="Normal"/>
        <w:jc w:val="both"/>
        <w:rPr>
          <w:sz w:val="24"/>
        </w:rPr>
      </w:pPr>
      <w:r>
        <w:rPr>
          <w:sz w:val="24"/>
        </w:rPr>
        <w:t>b.  If any Event of Default shall have occurred and be continuing, then the other Party (the “Performing Party”) shall have the right to designate an Early Termination Date upon at least one (1) Business Day’s notice to the Defaulting Party (except in the case of an event under Clauses 6(a)(v) above, in which event an Early Termination Date shall be deemed to have occurred immediately prior to such event and no prior notice shall be required) and to liquidate this Transaction and all Other Commodity Transactions then outstanding by:</w:t>
      </w:r>
    </w:p>
    <w:p>
      <w:pPr>
        <w:pStyle w:val="Normal"/>
        <w:jc w:val="both"/>
        <w:rPr>
          <w:sz w:val="24"/>
        </w:rPr>
      </w:pPr>
      <w:r>
        <w:rPr>
          <w:sz w:val="24"/>
        </w:rPr>
      </w:r>
    </w:p>
    <w:p>
      <w:pPr>
        <w:pStyle w:val="Normal"/>
        <w:ind w:start="720" w:end="0"/>
        <w:jc w:val="both"/>
        <w:rPr>
          <w:sz w:val="24"/>
        </w:rPr>
      </w:pPr>
      <w:r>
        <w:rPr>
          <w:sz w:val="24"/>
        </w:rPr>
        <w:t>i.  closing out and liquidating each such Transaction, so that each such Transaction is terminated, and calculating a Settlement Payment (as defined below) for each such Transaction payable to one Party from the other, as appropriate, and any Breakage Costs (as defined) below incurred by the Performing Party, and</w:t>
      </w:r>
    </w:p>
    <w:p>
      <w:pPr>
        <w:pStyle w:val="Normal"/>
        <w:jc w:val="both"/>
        <w:rPr>
          <w:sz w:val="24"/>
        </w:rPr>
      </w:pPr>
      <w:r>
        <w:rPr>
          <w:sz w:val="24"/>
        </w:rPr>
      </w:r>
    </w:p>
    <w:p>
      <w:pPr>
        <w:pStyle w:val="Normal"/>
        <w:ind w:start="720" w:end="0"/>
        <w:jc w:val="both"/>
        <w:rPr>
          <w:sz w:val="24"/>
        </w:rPr>
      </w:pPr>
      <w:r>
        <w:rPr>
          <w:sz w:val="24"/>
        </w:rPr>
        <w:t>ii.  setting off (1) all such Settlement Payments owing to the Defaulting Party plus (at the Performing Party’s election) any or all other amounts due to the Defaulting Party under this Transaction or any Other Commodity Transaction; (2) all such Settlement Payments owing to the Performing Party plus any or all Breakage Costs, plus (at the Performing Party’s election) any or all other amounts due to the Performing Party under this Transaction or any Other Commodity Transaction; and (3) all collateral held by either Party to secure the obligations of the other Party, so that all such amounts shall be aggregated and/or netted to a single liquidated amount payable within one (1) Business Day by the Party owing the greater such amount to the other Party.</w:t>
      </w:r>
    </w:p>
    <w:p>
      <w:pPr>
        <w:pStyle w:val="Normal"/>
        <w:jc w:val="both"/>
        <w:rPr>
          <w:sz w:val="24"/>
        </w:rPr>
      </w:pPr>
      <w:r>
        <w:rPr>
          <w:sz w:val="24"/>
        </w:rPr>
      </w:r>
    </w:p>
    <w:p>
      <w:pPr>
        <w:pStyle w:val="Normal"/>
        <w:jc w:val="both"/>
        <w:rPr>
          <w:sz w:val="24"/>
        </w:rPr>
      </w:pPr>
      <w:r>
        <w:rPr>
          <w:sz w:val="24"/>
        </w:rPr>
        <w:t>c.  For the purpose of this Section 6, “Settlement Payment” means with respect to this Transaction and any outstanding Other Commodity Transactions, an amount representing each such Commodity Transaction’s market value (in US dollars) to the Party entitled to receive compensation for the early termination thereof, determined as of, or about the time, such Transaction is liquidated by the Performing Party in any commercially reasonable manner, or with respect to an Other Commodity Transaction, the amount obtained by applying the liquidation provisions under said agreements.  “Breakage Costs” means all costs and losses which the Performing Party may incur as a result of its terminating and liquidating this Transaction under this non-performance clause, including without limitation, loss of bargain, costs and losses incurred in maintaining, terminating and/or re-establishing any hedge or related trading positions, except for amounts covered by the Settlement Payment for such Other Commodity Transaction.</w:t>
      </w:r>
    </w:p>
    <w:p>
      <w:pPr>
        <w:pStyle w:val="Normal"/>
        <w:jc w:val="both"/>
        <w:rPr>
          <w:sz w:val="24"/>
        </w:rPr>
      </w:pPr>
      <w:r>
        <w:rPr>
          <w:sz w:val="24"/>
        </w:rPr>
      </w:r>
    </w:p>
    <w:p>
      <w:pPr>
        <w:pStyle w:val="Normal"/>
        <w:jc w:val="both"/>
        <w:rPr>
          <w:sz w:val="24"/>
        </w:rPr>
      </w:pPr>
      <w:r>
        <w:rPr>
          <w:sz w:val="24"/>
        </w:rPr>
        <w:t>d.  If the Performing Party owes any amount pursuant to Section 6(b), at its election, it may set off any or all of such amount against any or all amounts then due and owing by the Defaulting Party to the Performing Party under any other agreement or arrangement.</w:t>
      </w:r>
    </w:p>
    <w:p>
      <w:pPr>
        <w:pStyle w:val="Normal"/>
        <w:jc w:val="both"/>
        <w:rPr>
          <w:sz w:val="24"/>
        </w:rPr>
      </w:pPr>
      <w:r>
        <w:rPr>
          <w:sz w:val="24"/>
        </w:rPr>
      </w:r>
    </w:p>
    <w:p>
      <w:pPr>
        <w:pStyle w:val="BodyText"/>
        <w:jc w:val="both"/>
        <w:rPr/>
      </w:pPr>
      <w:r>
        <w:rPr/>
        <w:t>e.  The Performing Party’s rights under this Section 6 shall be in addition to, and not in limitation or exclusion of, any other rights which the Performing Party may have (whether by agreement, operation of law, or otherwise).  This Agreement constitutes a swap contract for the purposes of Section 560 of the US Bankruptcy Code.</w:t>
      </w:r>
    </w:p>
    <w:p>
      <w:pPr>
        <w:pStyle w:val="BodyText"/>
        <w:jc w:val="both"/>
        <w:rPr/>
      </w:pPr>
      <w:r>
        <w:rPr/>
      </w:r>
    </w:p>
    <w:p>
      <w:pPr>
        <w:pStyle w:val="BodyText"/>
        <w:jc w:val="both"/>
        <w:rPr/>
      </w:pPr>
      <w:r>
        <w:rPr/>
        <w:t>f.  Unless expressly herein provided, neither party shall be liable for consequential, incidental, punitive, exemplary or indirect damages, lost profits or other business interruption damages by statute, in tort or contract, under any indemnity provision or otherwise.</w:t>
      </w:r>
    </w:p>
    <w:p>
      <w:pPr>
        <w:pStyle w:val="Normal"/>
        <w:jc w:val="both"/>
        <w:rPr>
          <w:sz w:val="24"/>
        </w:rPr>
      </w:pPr>
      <w:r>
        <w:rPr>
          <w:sz w:val="24"/>
        </w:rPr>
      </w:r>
    </w:p>
    <w:p>
      <w:pPr>
        <w:pStyle w:val="Normal"/>
        <w:jc w:val="both"/>
        <w:rPr>
          <w:b/>
          <w:sz w:val="24"/>
        </w:rPr>
      </w:pPr>
      <w:r>
        <w:rPr>
          <w:b/>
          <w:sz w:val="24"/>
        </w:rPr>
        <w:t>7.</w:t>
        <w:tab/>
        <w:t>Miscellaneous</w:t>
      </w:r>
    </w:p>
    <w:p>
      <w:pPr>
        <w:pStyle w:val="Normal"/>
        <w:jc w:val="both"/>
        <w:rPr>
          <w:b/>
          <w:sz w:val="24"/>
        </w:rPr>
      </w:pPr>
      <w:r>
        <w:rPr>
          <w:b/>
          <w:sz w:val="24"/>
        </w:rPr>
      </w:r>
    </w:p>
    <w:p>
      <w:pPr>
        <w:pStyle w:val="Normal"/>
        <w:jc w:val="both"/>
        <w:rPr>
          <w:sz w:val="24"/>
        </w:rPr>
      </w:pPr>
      <w:r>
        <w:rPr>
          <w:sz w:val="24"/>
        </w:rPr>
        <w:t>a.  Neither Party may assign its rights or its obligations hereunder without the prior written consent of the other Party.</w:t>
      </w:r>
    </w:p>
    <w:p>
      <w:pPr>
        <w:pStyle w:val="Normal"/>
        <w:jc w:val="both"/>
        <w:rPr>
          <w:sz w:val="24"/>
        </w:rPr>
      </w:pPr>
      <w:r>
        <w:rPr>
          <w:sz w:val="24"/>
        </w:rPr>
      </w:r>
    </w:p>
    <w:p>
      <w:pPr>
        <w:pStyle w:val="BodyText3"/>
        <w:rPr>
          <w:sz w:val="24"/>
        </w:rPr>
      </w:pPr>
      <w:r>
        <w:rPr>
          <w:sz w:val="24"/>
        </w:rPr>
        <w:t>b.  Each Party consents to the recording of its representatives’ telephone conversations without any further notice. All recordings and any other evidence may be introduced to prove any oral agreement between the Parties.</w:t>
      </w:r>
    </w:p>
    <w:p>
      <w:pPr>
        <w:pStyle w:val="Normal"/>
        <w:jc w:val="both"/>
        <w:rPr>
          <w:sz w:val="24"/>
        </w:rPr>
      </w:pPr>
      <w:r>
        <w:rPr>
          <w:sz w:val="24"/>
        </w:rPr>
      </w:r>
    </w:p>
    <w:p>
      <w:pPr>
        <w:pStyle w:val="Normal"/>
        <w:numPr>
          <w:ilvl w:val="0"/>
          <w:numId w:val="2"/>
        </w:numPr>
        <w:jc w:val="both"/>
        <w:rPr>
          <w:sz w:val="24"/>
        </w:rPr>
      </w:pPr>
      <w:r>
        <w:rPr>
          <w:sz w:val="24"/>
        </w:rPr>
        <w:t>Any notice or communication in connection with this Confirmation will be sufficiently given to a Party, if in writing and delivered in person, sent by registered or certified mail, in each case with return receipt requested, or by overnight courier, or given by telex or facsimile (in each case with answerback or other confirmation of its receipt received by the sender) at the address or telex number or facsimile number specified in this Confirmation or as mutually agreed by the parties. A notice or communication will be effective a) if delivered, b) if transmitted by telex or facsimile, at the time of successful transmission, or c) if sent by registered or certified mail return receipt requested, on the date of receipt, as follows:</w:t>
      </w:r>
    </w:p>
    <w:p>
      <w:pPr>
        <w:pStyle w:val="Normal"/>
        <w:jc w:val="both"/>
        <w:rPr>
          <w:sz w:val="24"/>
        </w:rPr>
      </w:pPr>
      <w:r>
        <w:rPr>
          <w:sz w:val="24"/>
        </w:rPr>
      </w:r>
    </w:p>
    <w:p>
      <w:pPr>
        <w:pStyle w:val="Normal"/>
        <w:jc w:val="both"/>
        <w:rPr>
          <w:sz w:val="24"/>
        </w:rPr>
      </w:pPr>
      <w:r>
        <w:rPr>
          <w:sz w:val="24"/>
        </w:rPr>
        <w:t>TO NYPA:</w:t>
        <w:tab/>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TO Counterparty:</w:t>
      </w:r>
    </w:p>
    <w:p>
      <w:pPr>
        <w:pStyle w:val="Normal"/>
        <w:jc w:val="both"/>
        <w:rPr>
          <w:sz w:val="24"/>
        </w:rPr>
      </w:pPr>
      <w:r>
        <w:rPr>
          <w:sz w:val="24"/>
        </w:rPr>
      </w:r>
    </w:p>
    <w:p>
      <w:pPr>
        <w:pStyle w:val="Normal"/>
        <w:jc w:val="both"/>
        <w:rPr>
          <w:sz w:val="24"/>
        </w:rPr>
      </w:pPr>
      <w:r>
        <w:rPr>
          <w:sz w:val="24"/>
        </w:rPr>
      </w:r>
    </w:p>
    <w:p>
      <w:pPr>
        <w:pStyle w:val="Normal"/>
        <w:jc w:val="both"/>
        <w:rPr>
          <w:sz w:val="24"/>
        </w:rPr>
      </w:pPr>
      <w:r>
        <w:rPr>
          <w:b/>
          <w:sz w:val="24"/>
        </w:rPr>
        <w:t>8.</w:t>
        <w:tab/>
        <w:t>Indemnification</w:t>
      </w:r>
    </w:p>
    <w:p>
      <w:pPr>
        <w:pStyle w:val="Normal"/>
        <w:jc w:val="both"/>
        <w:rPr>
          <w:b/>
          <w:sz w:val="24"/>
        </w:rPr>
      </w:pPr>
      <w:r>
        <w:rPr>
          <w:b/>
          <w:sz w:val="24"/>
        </w:rPr>
      </w:r>
    </w:p>
    <w:p>
      <w:pPr>
        <w:pStyle w:val="Normal"/>
        <w:jc w:val="both"/>
        <w:rPr>
          <w:sz w:val="24"/>
        </w:rPr>
      </w:pPr>
      <w:r>
        <w:rPr>
          <w:sz w:val="24"/>
        </w:rPr>
        <w:t>Notwithstanding any other provision of this Confirmation, Counterparty shall indemnify, save harmless and defend NYPA, including NYPA’s successors, assigns, board members, officers, employees, representatives and/or agents, from and against any and all claims, demands, liabilities, damages, judgments, costs and expenses (including, without limitation, reasonable attorney’s fees, expert fees and disbursements) incurred by NYPA arising out of, related to or resulting from any loss or damage  suffered by a third party as a result of acts or omissions of Counterparty relating to the performance of this Agreement.</w:t>
      </w:r>
    </w:p>
    <w:p>
      <w:pPr>
        <w:pStyle w:val="Normal"/>
        <w:keepNext w:val="true"/>
        <w:keepLines/>
        <w:jc w:val="both"/>
        <w:rPr>
          <w:b/>
          <w:sz w:val="24"/>
        </w:rPr>
      </w:pPr>
      <w:r>
        <w:rPr>
          <w:b/>
          <w:sz w:val="24"/>
        </w:rPr>
      </w:r>
    </w:p>
    <w:p>
      <w:pPr>
        <w:pStyle w:val="Normal"/>
        <w:keepNext w:val="true"/>
        <w:keepLines/>
        <w:jc w:val="both"/>
        <w:rPr>
          <w:b/>
          <w:sz w:val="24"/>
        </w:rPr>
      </w:pPr>
      <w:r>
        <w:rPr>
          <w:b/>
          <w:sz w:val="24"/>
        </w:rPr>
      </w:r>
    </w:p>
    <w:p>
      <w:pPr>
        <w:pStyle w:val="Normal"/>
        <w:keepNext w:val="true"/>
        <w:keepLines/>
        <w:jc w:val="both"/>
        <w:rPr>
          <w:b/>
          <w:sz w:val="24"/>
        </w:rPr>
      </w:pPr>
      <w:r>
        <w:rPr>
          <w:b/>
          <w:sz w:val="24"/>
        </w:rPr>
        <w:t>9.</w:t>
        <w:tab/>
        <w:t>Governing Law</w:t>
      </w:r>
    </w:p>
    <w:p>
      <w:pPr>
        <w:pStyle w:val="Normal"/>
        <w:keepNext w:val="true"/>
        <w:keepLines/>
        <w:jc w:val="both"/>
        <w:rPr>
          <w:b/>
          <w:sz w:val="24"/>
        </w:rPr>
      </w:pPr>
      <w:r>
        <w:rPr>
          <w:b/>
          <w:sz w:val="24"/>
        </w:rPr>
      </w:r>
    </w:p>
    <w:p>
      <w:pPr>
        <w:pStyle w:val="Normal"/>
        <w:keepNext w:val="true"/>
        <w:keepLines/>
        <w:jc w:val="both"/>
        <w:rPr>
          <w:sz w:val="24"/>
        </w:rPr>
      </w:pPr>
      <w:r>
        <w:rPr>
          <w:sz w:val="24"/>
        </w:rPr>
        <w:t xml:space="preserve">This contract shall be governed by New York law, without regard to conflict of laws principles. Each Party expressly submits to the exclusive jurisdiction of the Federal and State Courts located in the City of New York, in the State of New York.  </w:t>
      </w:r>
    </w:p>
    <w:p>
      <w:pPr>
        <w:pStyle w:val="Normal"/>
        <w:jc w:val="both"/>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POWER AUTHORITY OF THE STATE OF NEW YORK</w:t>
      </w:r>
    </w:p>
    <w:p>
      <w:pPr>
        <w:pStyle w:val="Normal"/>
        <w:rPr>
          <w:sz w:val="24"/>
        </w:rPr>
      </w:pPr>
      <w:r>
        <w:rPr>
          <w:sz w:val="24"/>
        </w:rPr>
      </w:r>
    </w:p>
    <w:p>
      <w:pPr>
        <w:pStyle w:val="Normal"/>
        <w:rPr/>
      </w:pPr>
      <w:r>
        <w:rPr>
          <w:b/>
          <w:sz w:val="24"/>
        </w:rPr>
        <w:t>By:</w:t>
      </w:r>
      <w:r>
        <w:rPr>
          <w:sz w:val="24"/>
        </w:rPr>
        <w:t xml:space="preserve">  ____________________________</w:t>
      </w:r>
    </w:p>
    <w:p>
      <w:pPr>
        <w:pStyle w:val="Normal"/>
        <w:rPr>
          <w:sz w:val="24"/>
        </w:rPr>
      </w:pPr>
      <w:r>
        <w:rPr>
          <w:sz w:val="24"/>
        </w:rPr>
      </w:r>
    </w:p>
    <w:p>
      <w:pPr>
        <w:pStyle w:val="Normal"/>
        <w:rPr>
          <w:b/>
          <w:sz w:val="24"/>
        </w:rPr>
      </w:pPr>
      <w:r>
        <w:rPr>
          <w:b/>
          <w:sz w:val="24"/>
        </w:rPr>
        <w:t xml:space="preserve">Title:  </w:t>
      </w:r>
    </w:p>
    <w:p>
      <w:pPr>
        <w:pStyle w:val="Normal"/>
        <w:rPr>
          <w:b/>
          <w:sz w:val="24"/>
        </w:rPr>
      </w:pPr>
      <w:r>
        <w:rPr>
          <w:b/>
          <w:sz w:val="24"/>
        </w:rPr>
      </w:r>
    </w:p>
    <w:p>
      <w:pPr>
        <w:pStyle w:val="Normal"/>
        <w:rPr>
          <w:b/>
          <w:sz w:val="24"/>
        </w:rPr>
      </w:pPr>
      <w:r>
        <w:rPr>
          <w:b/>
          <w:sz w:val="24"/>
        </w:rPr>
      </w:r>
    </w:p>
    <w:p>
      <w:pPr>
        <w:pStyle w:val="Normal"/>
        <w:rPr>
          <w:b/>
          <w:sz w:val="24"/>
        </w:rPr>
      </w:pPr>
      <w:r>
        <w:rPr>
          <w:b/>
          <w:sz w:val="24"/>
        </w:rPr>
        <w:t>ACKNOWLEDGED AND AGREED:</w:t>
      </w:r>
    </w:p>
    <w:p>
      <w:pPr>
        <w:pStyle w:val="Normal"/>
        <w:rPr>
          <w:b/>
          <w:sz w:val="24"/>
        </w:rPr>
      </w:pPr>
      <w:r>
        <w:rPr>
          <w:b/>
          <w:sz w:val="24"/>
        </w:rPr>
      </w:r>
    </w:p>
    <w:p>
      <w:pPr>
        <w:pStyle w:val="Normal"/>
        <w:rPr>
          <w:b/>
          <w:sz w:val="24"/>
        </w:rPr>
      </w:pPr>
      <w:r>
        <w:rPr>
          <w:b/>
          <w:sz w:val="24"/>
        </w:rPr>
      </w:r>
    </w:p>
    <w:p>
      <w:pPr>
        <w:pStyle w:val="Normal"/>
        <w:rPr>
          <w:sz w:val="24"/>
        </w:rPr>
      </w:pPr>
      <w:r>
        <w:rPr>
          <w:sz w:val="24"/>
        </w:rPr>
      </w:r>
    </w:p>
    <w:p>
      <w:pPr>
        <w:pStyle w:val="Normal"/>
        <w:rPr>
          <w:b/>
          <w:sz w:val="24"/>
        </w:rPr>
      </w:pPr>
      <w:r>
        <w:rPr>
          <w:b/>
          <w:sz w:val="24"/>
        </w:rPr>
        <w:t xml:space="preserve">By:  ____________________________ </w:t>
      </w:r>
    </w:p>
    <w:p>
      <w:pPr>
        <w:pStyle w:val="Normal"/>
        <w:rPr>
          <w:b/>
          <w:sz w:val="24"/>
        </w:rPr>
      </w:pPr>
      <w:r>
        <w:rPr>
          <w:b/>
          <w:sz w:val="24"/>
        </w:rPr>
      </w:r>
    </w:p>
    <w:p>
      <w:pPr>
        <w:pStyle w:val="Normal"/>
        <w:rPr>
          <w:b/>
          <w:sz w:val="24"/>
        </w:rPr>
      </w:pPr>
      <w:r>
        <w:rPr>
          <w:b/>
          <w:sz w:val="24"/>
        </w:rPr>
        <w:t xml:space="preserve">Title:                                                     </w:t>
      </w:r>
      <w:r>
        <w:br w:type="page"/>
      </w:r>
    </w:p>
    <w:p>
      <w:pPr>
        <w:pStyle w:val="Normal"/>
        <w:jc w:val="center"/>
        <w:rPr>
          <w:sz w:val="24"/>
        </w:rPr>
      </w:pPr>
      <w:r>
        <w:rPr>
          <w:b/>
          <w:sz w:val="24"/>
          <w:u w:val="single"/>
        </w:rPr>
        <w:t>APPENDIX A</w:t>
      </w:r>
    </w:p>
    <w:p>
      <w:pPr>
        <w:pStyle w:val="Normal"/>
        <w:jc w:val="center"/>
        <w:rPr>
          <w:sz w:val="24"/>
        </w:rPr>
      </w:pPr>
      <w:r>
        <w:rPr>
          <w:sz w:val="24"/>
        </w:rPr>
      </w:r>
    </w:p>
    <w:p>
      <w:pPr>
        <w:pStyle w:val="BodyText"/>
        <w:rPr/>
      </w:pPr>
      <w:r>
        <w:rPr/>
        <w:t>The Total Notional Quantities and Fixed Prices for the month of _____, 2000 for each Zone shall be as set forth below:</w:t>
      </w:r>
    </w:p>
    <w:p>
      <w:pPr>
        <w:pStyle w:val="Heading6"/>
        <w:ind w:hanging="1440" w:end="0"/>
        <w:rPr/>
      </w:pPr>
      <w:r>
        <w:rPr>
          <w:rFonts w:cs="Times New Roman" w:ascii="Times New Roman" w:hAnsi="Times New Roman"/>
        </w:rPr>
        <w:t>Total Notional Quantity</w:t>
      </w:r>
      <w:r>
        <w:rPr>
          <w:rFonts w:cs="Times New Roman" w:ascii="Times New Roman" w:hAnsi="Times New Roman"/>
          <w:u w:val="none"/>
        </w:rPr>
        <w:tab/>
        <w:tab/>
      </w:r>
      <w:r>
        <w:rPr>
          <w:rFonts w:cs="Times New Roman" w:ascii="Times New Roman" w:hAnsi="Times New Roman"/>
        </w:rPr>
        <w:t>Fixed Price</w:t>
      </w:r>
      <w:r>
        <w:rPr>
          <w:rFonts w:cs="Times New Roman" w:ascii="Times New Roman" w:hAnsi="Times New Roman"/>
          <w:u w:val="none"/>
        </w:rPr>
        <w:t xml:space="preserve"> ($/MWH)</w:t>
      </w:r>
    </w:p>
    <w:p>
      <w:pPr>
        <w:pStyle w:val="Normal"/>
        <w:rPr>
          <w:rFonts w:ascii="Times New Roman" w:hAnsi="Times New Roman" w:cs="Times New Roman"/>
          <w:u w:val="none"/>
        </w:rPr>
      </w:pPr>
      <w:r>
        <w:rPr>
          <w:rFonts w:cs="Times New Roman"/>
          <w:u w:val="none"/>
        </w:rPr>
      </w:r>
    </w:p>
    <w:p>
      <w:pPr>
        <w:pStyle w:val="Heading2"/>
        <w:ind w:hanging="0" w:start="0"/>
        <w:rPr/>
      </w:pPr>
      <w:r>
        <w:rPr/>
        <w:tab/>
        <w:tab/>
        <w:tab/>
        <w:tab/>
      </w:r>
    </w:p>
    <w:p>
      <w:pPr>
        <w:pStyle w:val="Normal"/>
        <w:rPr>
          <w:sz w:val="24"/>
        </w:rPr>
      </w:pPr>
      <w:r>
        <w:rPr>
          <w:sz w:val="24"/>
        </w:rPr>
      </w:r>
    </w:p>
    <w:p>
      <w:pPr>
        <w:pStyle w:val="Heading1"/>
        <w:ind w:hanging="0" w:start="0"/>
        <w:jc w:val="start"/>
        <w:rPr/>
      </w:pPr>
      <w:r>
        <w:rPr/>
        <w:t>NYSEG-A</w:t>
        <w:tab/>
        <w:tab/>
        <w:tab/>
      </w:r>
    </w:p>
    <w:p>
      <w:pPr>
        <w:pStyle w:val="Normal"/>
        <w:rPr/>
      </w:pPr>
      <w:r>
        <w:rPr/>
      </w:r>
    </w:p>
    <w:p>
      <w:pPr>
        <w:pStyle w:val="Heading1"/>
        <w:ind w:hanging="0" w:start="0"/>
        <w:jc w:val="start"/>
        <w:rPr/>
      </w:pPr>
      <w:r>
        <w:rPr/>
        <w:t>NYSEG-C</w:t>
        <w:tab/>
        <w:tab/>
        <w:tab/>
      </w:r>
    </w:p>
    <w:p>
      <w:pPr>
        <w:pStyle w:val="Heading2"/>
        <w:ind w:hanging="0" w:start="0"/>
        <w:rPr/>
      </w:pPr>
      <w:r>
        <w:rPr/>
      </w:r>
    </w:p>
    <w:p>
      <w:pPr>
        <w:pStyle w:val="Heading1"/>
        <w:ind w:hanging="0" w:start="0"/>
        <w:jc w:val="start"/>
        <w:rPr/>
      </w:pPr>
      <w:r>
        <w:rPr/>
        <w:t>NYSEG-D</w:t>
        <w:tab/>
        <w:tab/>
        <w:tab/>
      </w:r>
    </w:p>
    <w:p>
      <w:pPr>
        <w:pStyle w:val="Normal"/>
        <w:rPr>
          <w:sz w:val="24"/>
        </w:rPr>
      </w:pPr>
      <w:r>
        <w:rPr>
          <w:sz w:val="24"/>
        </w:rPr>
      </w:r>
    </w:p>
    <w:p>
      <w:pPr>
        <w:pStyle w:val="Heading1"/>
        <w:ind w:hanging="0" w:start="0"/>
        <w:jc w:val="start"/>
        <w:rPr/>
      </w:pPr>
      <w:r>
        <w:rPr/>
        <w:t>NYSEG-E</w:t>
        <w:tab/>
        <w:tab/>
        <w:tab/>
      </w:r>
    </w:p>
    <w:p>
      <w:pPr>
        <w:pStyle w:val="Normal"/>
        <w:rPr>
          <w:sz w:val="24"/>
        </w:rPr>
      </w:pPr>
      <w:r>
        <w:rPr>
          <w:sz w:val="24"/>
        </w:rPr>
      </w:r>
    </w:p>
    <w:p>
      <w:pPr>
        <w:pStyle w:val="Heading1"/>
        <w:ind w:hanging="0" w:start="0"/>
        <w:jc w:val="start"/>
        <w:rPr/>
      </w:pPr>
      <w:r>
        <w:rPr/>
        <w:t>NYSEG-F</w:t>
        <w:tab/>
        <w:tab/>
        <w:tab/>
      </w:r>
    </w:p>
    <w:p>
      <w:pPr>
        <w:pStyle w:val="Normal"/>
        <w:rPr>
          <w:sz w:val="24"/>
        </w:rPr>
      </w:pPr>
      <w:r>
        <w:rPr>
          <w:sz w:val="24"/>
        </w:rPr>
      </w:r>
    </w:p>
    <w:p>
      <w:pPr>
        <w:pStyle w:val="Heading1"/>
        <w:ind w:hanging="0" w:start="0"/>
        <w:jc w:val="start"/>
        <w:rPr/>
      </w:pPr>
      <w:r>
        <w:rPr/>
        <w:t>NIMO-A</w:t>
        <w:tab/>
        <w:tab/>
        <w:tab/>
      </w:r>
    </w:p>
    <w:p>
      <w:pPr>
        <w:pStyle w:val="Normal"/>
        <w:rPr>
          <w:sz w:val="24"/>
        </w:rPr>
      </w:pPr>
      <w:r>
        <w:rPr>
          <w:sz w:val="24"/>
        </w:rPr>
      </w:r>
    </w:p>
    <w:p>
      <w:pPr>
        <w:pStyle w:val="Heading1"/>
        <w:ind w:hanging="0" w:start="0"/>
        <w:jc w:val="start"/>
        <w:rPr/>
      </w:pPr>
      <w:r>
        <w:rPr/>
        <w:t>NIMO-B</w:t>
        <w:tab/>
        <w:tab/>
        <w:tab/>
      </w:r>
    </w:p>
    <w:p>
      <w:pPr>
        <w:pStyle w:val="Heading1"/>
        <w:ind w:hanging="0" w:start="0"/>
        <w:jc w:val="start"/>
        <w:rPr/>
      </w:pPr>
      <w:r>
        <w:rPr/>
      </w:r>
    </w:p>
    <w:p>
      <w:pPr>
        <w:pStyle w:val="Heading1"/>
        <w:ind w:hanging="0" w:start="0"/>
        <w:jc w:val="start"/>
        <w:rPr/>
      </w:pPr>
      <w:r>
        <w:rPr/>
        <w:t>NIMO-C</w:t>
        <w:tab/>
        <w:tab/>
        <w:tab/>
      </w:r>
    </w:p>
    <w:p>
      <w:pPr>
        <w:pStyle w:val="Normal"/>
        <w:rPr>
          <w:sz w:val="24"/>
        </w:rPr>
      </w:pPr>
      <w:r>
        <w:rPr>
          <w:sz w:val="24"/>
        </w:rPr>
      </w:r>
    </w:p>
    <w:p>
      <w:pPr>
        <w:pStyle w:val="Heading1"/>
        <w:ind w:hanging="0" w:start="0"/>
        <w:jc w:val="start"/>
        <w:rPr/>
      </w:pPr>
      <w:r>
        <w:rPr/>
        <w:t>NIMO-D</w:t>
        <w:tab/>
        <w:tab/>
        <w:tab/>
      </w:r>
    </w:p>
    <w:p>
      <w:pPr>
        <w:pStyle w:val="Normal"/>
        <w:rPr>
          <w:sz w:val="24"/>
        </w:rPr>
      </w:pPr>
      <w:r>
        <w:rPr>
          <w:sz w:val="24"/>
        </w:rPr>
      </w:r>
    </w:p>
    <w:p>
      <w:pPr>
        <w:pStyle w:val="Heading1"/>
        <w:ind w:hanging="0" w:start="0"/>
        <w:jc w:val="start"/>
        <w:rPr/>
      </w:pPr>
      <w:r>
        <w:rPr/>
        <w:t>NIMO-E</w:t>
        <w:tab/>
        <w:tab/>
        <w:tab/>
      </w:r>
    </w:p>
    <w:p>
      <w:pPr>
        <w:pStyle w:val="Normal"/>
        <w:rPr>
          <w:sz w:val="24"/>
        </w:rPr>
      </w:pPr>
      <w:r>
        <w:rPr>
          <w:sz w:val="24"/>
        </w:rPr>
      </w:r>
    </w:p>
    <w:p>
      <w:pPr>
        <w:pStyle w:val="Heading1"/>
        <w:ind w:hanging="0" w:start="0"/>
        <w:jc w:val="start"/>
        <w:rPr/>
      </w:pPr>
      <w:r>
        <w:rPr/>
        <w:t>NIMO-F</w:t>
        <w:tab/>
        <w:tab/>
        <w:tab/>
      </w:r>
    </w:p>
    <w:p>
      <w:pPr>
        <w:pStyle w:val="Normal"/>
        <w:rPr>
          <w:sz w:val="24"/>
        </w:rPr>
      </w:pPr>
      <w:r>
        <w:rPr>
          <w:sz w:val="24"/>
        </w:rPr>
      </w:r>
    </w:p>
    <w:p>
      <w:pPr>
        <w:pStyle w:val="Heading1"/>
        <w:ind w:hanging="0" w:start="0"/>
        <w:jc w:val="start"/>
        <w:rPr/>
      </w:pPr>
      <w:r>
        <w:rPr/>
        <w:t>CENTRAL HUDSON-G</w:t>
        <w:tab/>
      </w:r>
    </w:p>
    <w:p>
      <w:pPr>
        <w:pStyle w:val="Normal"/>
        <w:rPr>
          <w:sz w:val="24"/>
        </w:rPr>
      </w:pPr>
      <w:r>
        <w:rPr>
          <w:sz w:val="24"/>
        </w:rPr>
      </w:r>
    </w:p>
    <w:p>
      <w:pPr>
        <w:pStyle w:val="Heading1"/>
        <w:ind w:hanging="0" w:start="0"/>
        <w:jc w:val="start"/>
        <w:rPr/>
      </w:pPr>
      <w:r>
        <w:rPr/>
        <w:t>RG&amp;E-B</w:t>
        <w:tab/>
        <w:tab/>
        <w:tab/>
      </w:r>
    </w:p>
    <w:p>
      <w:pPr>
        <w:pStyle w:val="Normal"/>
        <w:rPr>
          <w:sz w:val="24"/>
        </w:rPr>
      </w:pPr>
      <w:r>
        <w:rPr>
          <w:sz w:val="24"/>
        </w:rPr>
      </w:r>
    </w:p>
    <w:p>
      <w:pPr>
        <w:pStyle w:val="Heading1"/>
        <w:ind w:hanging="0" w:start="0"/>
        <w:jc w:val="start"/>
        <w:rPr/>
      </w:pPr>
      <w:r>
        <w:rPr/>
        <w:t>CONED-H</w:t>
        <w:tab/>
        <w:tab/>
        <w:tab/>
      </w:r>
    </w:p>
    <w:p>
      <w:pPr>
        <w:pStyle w:val="Normal"/>
        <w:rPr>
          <w:sz w:val="24"/>
        </w:rPr>
      </w:pPr>
      <w:r>
        <w:rPr>
          <w:sz w:val="24"/>
        </w:rPr>
      </w:r>
    </w:p>
    <w:p>
      <w:pPr>
        <w:pStyle w:val="Heading1"/>
        <w:ind w:hanging="0" w:start="0"/>
        <w:jc w:val="start"/>
        <w:rPr/>
      </w:pPr>
      <w:r>
        <w:rPr/>
        <w:t>CONED-I</w:t>
        <w:tab/>
        <w:tab/>
        <w:tab/>
      </w:r>
    </w:p>
    <w:p>
      <w:pPr>
        <w:pStyle w:val="Normal"/>
        <w:rPr>
          <w:sz w:val="24"/>
        </w:rPr>
      </w:pPr>
      <w:r>
        <w:rPr>
          <w:sz w:val="24"/>
        </w:rPr>
      </w:r>
    </w:p>
    <w:p>
      <w:pPr>
        <w:pStyle w:val="Heading1"/>
        <w:ind w:hanging="0" w:start="0"/>
        <w:jc w:val="start"/>
        <w:rPr/>
      </w:pPr>
      <w:r>
        <w:rPr/>
        <w:t>CONED-J</w:t>
        <w:tab/>
        <w:tab/>
        <w:tab/>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1460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360"/>
        </w:tabs>
        <w:ind w:start="360" w:hanging="360"/>
      </w:pPr>
      <w:rPr/>
    </w:lvl>
  </w:abstractNum>
  <w:abstractNum w:abstractNumId="3">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ind w:hanging="2880" w:start="2880" w:end="0"/>
      <w:outlineLvl w:val="2"/>
    </w:pPr>
    <w:rPr>
      <w:b/>
      <w:sz w:val="24"/>
      <w:u w:val="single"/>
    </w:rPr>
  </w:style>
  <w:style w:type="paragraph" w:styleId="Heading4">
    <w:name w:val="heading 4"/>
    <w:basedOn w:val="Normal"/>
    <w:next w:val="Normal"/>
    <w:qFormat/>
    <w:pPr>
      <w:keepNext w:val="true"/>
      <w:numPr>
        <w:ilvl w:val="3"/>
        <w:numId w:val="1"/>
      </w:numPr>
      <w:ind w:hanging="1440" w:start="1440" w:end="0"/>
      <w:outlineLvl w:val="3"/>
    </w:pPr>
    <w:rPr>
      <w:b/>
      <w:sz w:val="24"/>
      <w:u w:val="single"/>
    </w:rPr>
  </w:style>
  <w:style w:type="paragraph" w:styleId="Heading5">
    <w:name w:val="heading 5"/>
    <w:basedOn w:val="Normal"/>
    <w:next w:val="Normal"/>
    <w:qFormat/>
    <w:pPr>
      <w:keepNext w:val="true"/>
      <w:numPr>
        <w:ilvl w:val="4"/>
        <w:numId w:val="1"/>
      </w:numPr>
      <w:outlineLvl w:val="4"/>
    </w:pPr>
    <w:rPr>
      <w:rFonts w:ascii="Garamond" w:hAnsi="Garamond" w:cs="Garamond"/>
      <w:b/>
      <w:sz w:val="24"/>
      <w:u w:val="single"/>
    </w:rPr>
  </w:style>
  <w:style w:type="paragraph" w:styleId="Heading6">
    <w:name w:val="heading 6"/>
    <w:basedOn w:val="Normal"/>
    <w:next w:val="Normal"/>
    <w:qFormat/>
    <w:pPr>
      <w:keepNext w:val="true"/>
      <w:numPr>
        <w:ilvl w:val="5"/>
        <w:numId w:val="1"/>
      </w:numPr>
      <w:ind w:hanging="3600" w:start="3600" w:end="0"/>
      <w:outlineLvl w:val="5"/>
    </w:pPr>
    <w:rPr>
      <w:rFonts w:ascii="Garamond" w:hAnsi="Garamond" w:cs="Garamond"/>
      <w:b/>
      <w:sz w:val="24"/>
      <w:u w:val="single"/>
    </w:rPr>
  </w:style>
  <w:style w:type="paragraph" w:styleId="Heading7">
    <w:name w:val="heading 7"/>
    <w:basedOn w:val="Normal"/>
    <w:next w:val="Normal"/>
    <w:qFormat/>
    <w:pPr>
      <w:keepNext w:val="true"/>
      <w:numPr>
        <w:ilvl w:val="6"/>
        <w:numId w:val="1"/>
      </w:numPr>
      <w:ind w:hanging="3600" w:start="3600" w:end="0"/>
      <w:outlineLvl w:val="6"/>
    </w:pPr>
    <w:rPr>
      <w:rFonts w:ascii="Garamond" w:hAnsi="Garamond" w:cs="Garamond"/>
      <w:b/>
      <w:sz w:val="24"/>
    </w:rPr>
  </w:style>
  <w:style w:type="paragraph" w:styleId="Heading8">
    <w:name w:val="heading 8"/>
    <w:basedOn w:val="Normal"/>
    <w:next w:val="Normal"/>
    <w:qFormat/>
    <w:pPr>
      <w:keepNext w:val="true"/>
      <w:numPr>
        <w:ilvl w:val="7"/>
        <w:numId w:val="1"/>
      </w:numPr>
      <w:ind w:firstLine="720" w:start="720" w:end="0"/>
      <w:outlineLvl w:val="7"/>
    </w:pPr>
    <w:rPr>
      <w:rFonts w:ascii="Garamond" w:hAnsi="Garamond" w:cs="Garamond"/>
      <w:sz w:val="24"/>
    </w:rPr>
  </w:style>
  <w:style w:type="paragraph" w:styleId="Heading9">
    <w:name w:val="heading 9"/>
    <w:basedOn w:val="Normal"/>
    <w:next w:val="Normal"/>
    <w:qFormat/>
    <w:pPr>
      <w:keepNext w:val="true"/>
      <w:numPr>
        <w:ilvl w:val="8"/>
        <w:numId w:val="1"/>
      </w:numPr>
      <w:outlineLvl w:val="8"/>
    </w:pPr>
    <w:rPr>
      <w:rFonts w:ascii="Garamond" w:hAnsi="Garamond" w:cs="Garamond"/>
      <w:b/>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hanging="2880" w:start="2880" w:end="0"/>
    </w:pPr>
    <w:rPr>
      <w:rFonts w:ascii="Garamond" w:hAnsi="Garamond" w:cs="Garamond"/>
      <w:sz w:val="24"/>
    </w:rPr>
  </w:style>
  <w:style w:type="paragraph" w:styleId="BodyText2">
    <w:name w:val="Body Text 2"/>
    <w:basedOn w:val="Normal"/>
    <w:qFormat/>
    <w:pPr/>
    <w:rPr>
      <w:rFonts w:ascii="Garamond" w:hAnsi="Garamond" w:cs="Garamond"/>
      <w:sz w:val="24"/>
    </w:rPr>
  </w:style>
  <w:style w:type="paragraph" w:styleId="BodyTextIndent">
    <w:name w:val="Body Text Indent"/>
    <w:basedOn w:val="Normal"/>
    <w:pPr>
      <w:ind w:hanging="3600" w:start="3600" w:end="0"/>
    </w:pPr>
    <w:rPr>
      <w:rFonts w:ascii="Garamond" w:hAnsi="Garamond" w:cs="Garamond"/>
      <w:sz w:val="24"/>
    </w:rPr>
  </w:style>
  <w:style w:type="paragraph" w:styleId="BodyText3">
    <w:name w:val="Body Text 3"/>
    <w:basedOn w:val="Normal"/>
    <w:qFormat/>
    <w:pPr>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2000-09-12T13:42:00Z</dcterms:created>
  <dc:creator>LimoneJ</dc:creator>
  <dc:description/>
  <cp:keywords>Form</cp:keywords>
  <dc:language>en-CA</dc:language>
  <cp:lastModifiedBy>TBU-power marketing</cp:lastModifiedBy>
  <cp:lastPrinted>2000-09-08T14:21:00Z</cp:lastPrinted>
  <dcterms:modified xsi:type="dcterms:W3CDTF">2000-09-12T13:42:00Z</dcterms:modified>
  <cp:revision>2</cp:revision>
  <dc:subject>Non-ISDA swap confirmation form</dc:subject>
  <dc:title>Form</dc:title>
</cp:coreProperties>
</file>