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pPr>
      <w:r>
        <w:rPr>
          <w:rFonts w:cs="Arial" w:ascii="Arial" w:hAnsi="Arial"/>
          <w:sz w:val="24"/>
          <w:szCs w:val="24"/>
        </w:rPr>
        <w:t>CFACTS</w:t>
      </w:r>
      <w:r>
        <w:rPr>
          <w:rStyle w:val="FootnoteCharacters"/>
          <w:rStyle w:val="FootnoteReference"/>
          <w:rFonts w:cs="Arial" w:ascii="Arial" w:hAnsi="Arial"/>
          <w:sz w:val="24"/>
          <w:szCs w:val="24"/>
        </w:rPr>
        <w:footnoteReference w:id="2"/>
      </w:r>
      <w:r>
        <w:rPr>
          <w:rFonts w:cs="Arial" w:ascii="Arial" w:hAnsi="Arial"/>
          <w:sz w:val="24"/>
          <w:szCs w:val="24"/>
        </w:rPr>
        <w:t xml:space="preserve"> has reviewed the Preliminary Discussion Drafts for Congestion Management developed by RTO West.  There are many aspects of the proposed model that CFACTS supports as proposed and believes will offer a workable solution to transmission congestion for RTO West.  However, there are also some key features of the congestion model that make the model unworkable and need to be modified.  CFACTS believes that the suggested improvements in the RTO West congestion management proposal are needed in order for the RTO West proposal to be acceptable to FERC.  The December 17 FERC staff “Concept Discussion Paper” reinforces many of the concerns that CFACTS has with the RTO West proposal and offers RTO West some key guidance to follow in making its March 1, 2002 filing.</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pPr>
      <w:r>
        <w:rPr>
          <w:rFonts w:cs="Arial" w:ascii="Arial" w:hAnsi="Arial"/>
          <w:sz w:val="24"/>
          <w:szCs w:val="24"/>
        </w:rPr>
        <w:t xml:space="preserve">CFACTS supports the following key elements in the RTO West Congestion proposal: </w:t>
      </w:r>
    </w:p>
    <w:p>
      <w:pPr>
        <w:pStyle w:val="Normal"/>
        <w:numPr>
          <w:ilvl w:val="0"/>
          <w:numId w:val="5"/>
        </w:numPr>
        <w:spacing w:lineRule="auto" w:line="360"/>
        <w:rPr>
          <w:rFonts w:ascii="Arial" w:hAnsi="Arial" w:cs="Arial"/>
          <w:sz w:val="24"/>
          <w:szCs w:val="24"/>
        </w:rPr>
      </w:pPr>
      <w:r>
        <w:rPr>
          <w:rFonts w:cs="Arial" w:ascii="Arial" w:hAnsi="Arial"/>
          <w:sz w:val="24"/>
          <w:szCs w:val="24"/>
        </w:rPr>
        <w:t>Reliance on a financial rights model that allows rights holders to collect congestion revenues associated with the rights and does not require transmission rights as a prerequisite to scheduling;</w:t>
      </w:r>
    </w:p>
    <w:p>
      <w:pPr>
        <w:pStyle w:val="Normal"/>
        <w:numPr>
          <w:ilvl w:val="0"/>
          <w:numId w:val="5"/>
        </w:numPr>
        <w:spacing w:lineRule="auto" w:line="360"/>
        <w:rPr>
          <w:rFonts w:ascii="Arial" w:hAnsi="Arial" w:cs="Arial"/>
          <w:sz w:val="24"/>
          <w:szCs w:val="24"/>
        </w:rPr>
      </w:pPr>
      <w:r>
        <w:rPr>
          <w:rFonts w:cs="Arial" w:ascii="Arial" w:hAnsi="Arial"/>
          <w:sz w:val="24"/>
          <w:szCs w:val="24"/>
        </w:rPr>
        <w:t>Use of locational energy prices at different nodes to reflect congestion costs;</w:t>
      </w:r>
    </w:p>
    <w:p>
      <w:pPr>
        <w:pStyle w:val="Normal"/>
        <w:numPr>
          <w:ilvl w:val="0"/>
          <w:numId w:val="5"/>
        </w:numPr>
        <w:spacing w:lineRule="auto" w:line="360"/>
        <w:rPr>
          <w:rFonts w:ascii="Arial" w:hAnsi="Arial" w:cs="Arial"/>
          <w:sz w:val="24"/>
          <w:szCs w:val="24"/>
        </w:rPr>
      </w:pPr>
      <w:r>
        <w:rPr>
          <w:rFonts w:cs="Arial" w:ascii="Arial" w:hAnsi="Arial"/>
          <w:sz w:val="24"/>
          <w:szCs w:val="24"/>
        </w:rPr>
        <w:t>A consistent settlement process based on locational marginal prices;</w:t>
      </w:r>
    </w:p>
    <w:p>
      <w:pPr>
        <w:pStyle w:val="Normal"/>
        <w:numPr>
          <w:ilvl w:val="0"/>
          <w:numId w:val="5"/>
        </w:numPr>
        <w:spacing w:lineRule="auto" w:line="360"/>
        <w:rPr>
          <w:rFonts w:ascii="Arial" w:hAnsi="Arial" w:cs="Arial"/>
          <w:sz w:val="24"/>
          <w:szCs w:val="24"/>
        </w:rPr>
      </w:pPr>
      <w:r>
        <w:rPr>
          <w:rFonts w:cs="Arial" w:ascii="Arial" w:hAnsi="Arial"/>
          <w:sz w:val="24"/>
          <w:szCs w:val="24"/>
        </w:rPr>
        <w:t>The strong day-ahead scheduling component to the model; and</w:t>
      </w:r>
    </w:p>
    <w:p>
      <w:pPr>
        <w:pStyle w:val="Normal"/>
        <w:numPr>
          <w:ilvl w:val="0"/>
          <w:numId w:val="5"/>
        </w:numPr>
        <w:spacing w:lineRule="auto" w:line="360"/>
        <w:rPr>
          <w:rFonts w:ascii="Arial" w:hAnsi="Arial" w:cs="Arial"/>
          <w:sz w:val="24"/>
          <w:szCs w:val="24"/>
        </w:rPr>
      </w:pPr>
      <w:r>
        <w:rPr>
          <w:rFonts w:cs="Arial" w:ascii="Arial" w:hAnsi="Arial"/>
          <w:sz w:val="24"/>
          <w:szCs w:val="24"/>
        </w:rPr>
        <w:t>That financial rights have no value if they are not used.</w:t>
      </w:r>
    </w:p>
    <w:p>
      <w:pPr>
        <w:pStyle w:val="Normal"/>
        <w:spacing w:lineRule="auto" w:line="360"/>
        <w:ind w:start="360" w:end="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t>CFACTS is concerned with a number of the details of the proposal.  These comments, however, will focus on the fatal flaws of the proposal; those that are inconsistent with comparability of service, provide an inappropriate role for the RTO and are generally incompatible with FERC policy and thus not likely to be approved.  These are:</w:t>
      </w:r>
    </w:p>
    <w:p>
      <w:pPr>
        <w:pStyle w:val="Normal"/>
        <w:numPr>
          <w:ilvl w:val="0"/>
          <w:numId w:val="3"/>
        </w:numPr>
        <w:spacing w:lineRule="auto" w:line="360"/>
        <w:rPr>
          <w:rFonts w:ascii="Arial" w:hAnsi="Arial" w:cs="Arial"/>
          <w:sz w:val="24"/>
          <w:szCs w:val="24"/>
        </w:rPr>
      </w:pPr>
      <w:r>
        <w:rPr>
          <w:rFonts w:cs="Arial" w:ascii="Arial" w:hAnsi="Arial"/>
          <w:sz w:val="24"/>
          <w:szCs w:val="24"/>
        </w:rPr>
        <w:t>The ability of RTO West participants to retain and not convert existing transmission rights.</w:t>
      </w:r>
    </w:p>
    <w:p>
      <w:pPr>
        <w:pStyle w:val="Normal"/>
        <w:numPr>
          <w:ilvl w:val="0"/>
          <w:numId w:val="3"/>
        </w:numPr>
        <w:spacing w:lineRule="auto" w:line="360"/>
        <w:rPr>
          <w:rFonts w:ascii="Arial" w:hAnsi="Arial" w:cs="Arial"/>
          <w:sz w:val="24"/>
          <w:szCs w:val="24"/>
        </w:rPr>
      </w:pPr>
      <w:r>
        <w:rPr>
          <w:rFonts w:cs="Arial" w:ascii="Arial" w:hAnsi="Arial"/>
          <w:sz w:val="24"/>
          <w:szCs w:val="24"/>
        </w:rPr>
        <w:t>Allowing the RTO to take forward positions to create “virtual” ATC.</w:t>
      </w:r>
    </w:p>
    <w:p>
      <w:pPr>
        <w:pStyle w:val="Normal"/>
        <w:spacing w:lineRule="auto" w:line="360"/>
        <w:rPr/>
      </w:pPr>
      <w:r>
        <w:rPr>
          <w:rFonts w:cs="Arial" w:ascii="Arial" w:hAnsi="Arial"/>
          <w:sz w:val="24"/>
          <w:szCs w:val="24"/>
        </w:rPr>
        <w:t xml:space="preserve">The most significant problem that CFACTS has with the RTO West congestion proposal, as with the pricing proposal, revolves around the ability of RTO West to provide comparable service to all users of the RTO West transmission system.  The simple fact that not all contracts have to convert to RTO service is the root of this problem.  To the extent that existing contracts, including load service obligations, fail to convert from catalogued rights to FTO rights, incumbent merchants will receive a different level and superior terms of service than all other users of the system. The proposed voluntary approach to conversion, coupled with the penalties that converters could face in the pricing model, all but assure that there will be little if any contract conversion.  In addition, the incumbents do not have to pay any congestion charges, even if they expose the system to congestion, while others that use the system must pay for any congestion that they impose on the system.  These terms and conditions are clearly different and better for incumbents than for all other users of the system.  </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pPr>
      <w:r>
        <w:rPr>
          <w:rFonts w:cs="Arial" w:ascii="Arial" w:hAnsi="Arial"/>
          <w:sz w:val="24"/>
          <w:szCs w:val="24"/>
        </w:rPr>
        <w:t xml:space="preserve">The other problem that not converting contracts creates is the absence of any liquid market for financial hedges for managing congestion on the RTO West system.  There will be no products for non-incumbent users of the system to buy unless there is some type of contract conversion and requirement that the FTO’s be made available in the market.  CFACTS believes that without liquidity and contract conversion, the congestion management proposal provides no meaningful benefit and is unlikely to be acceptable to FERC.   </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b/>
          <w:sz w:val="24"/>
          <w:szCs w:val="24"/>
          <w:u w:val="single"/>
        </w:rPr>
      </w:pPr>
      <w:r>
        <w:rPr>
          <w:rFonts w:cs="Arial" w:ascii="Arial" w:hAnsi="Arial"/>
          <w:b/>
          <w:sz w:val="24"/>
          <w:szCs w:val="24"/>
          <w:u w:val="single"/>
        </w:rPr>
        <w:t>Specific Concerns with Contract Conversion Rules</w:t>
      </w:r>
    </w:p>
    <w:p>
      <w:pPr>
        <w:pStyle w:val="Normal"/>
        <w:spacing w:lineRule="auto" w:line="360"/>
        <w:rPr>
          <w:rFonts w:ascii="Arial" w:hAnsi="Arial" w:cs="Arial"/>
          <w:b/>
          <w:sz w:val="24"/>
          <w:szCs w:val="24"/>
          <w:u w:val="single"/>
        </w:rPr>
      </w:pPr>
      <w:r>
        <w:rPr>
          <w:rFonts w:cs="Arial" w:ascii="Arial" w:hAnsi="Arial"/>
          <w:b/>
          <w:sz w:val="24"/>
          <w:szCs w:val="24"/>
          <w:u w:val="single"/>
        </w:rPr>
      </w:r>
    </w:p>
    <w:p>
      <w:pPr>
        <w:pStyle w:val="Normal"/>
        <w:spacing w:lineRule="auto" w:line="360"/>
        <w:rPr/>
      </w:pPr>
      <w:r>
        <w:rPr>
          <w:rFonts w:cs="Arial" w:ascii="Arial" w:hAnsi="Arial"/>
          <w:sz w:val="24"/>
          <w:szCs w:val="24"/>
        </w:rPr>
        <w:t>The proposal offers an excessive level of flexibility for participating utilities to choose the timing and amount of transmission rights that they will convert from existing terms and conditions as catalogued transmission rights (CTRs) to RTO firm transmission options (FTOs).  This flexibility provides incumbent capacity holders and their merchants with options for using the transmission system that are not available to other users.  This is the essence of the comparability problem.</w:t>
      </w:r>
    </w:p>
    <w:p>
      <w:pPr>
        <w:pStyle w:val="Normal"/>
        <w:numPr>
          <w:ilvl w:val="0"/>
          <w:numId w:val="2"/>
        </w:numPr>
        <w:spacing w:lineRule="auto" w:line="360"/>
        <w:rPr>
          <w:rFonts w:ascii="Arial" w:hAnsi="Arial" w:cs="Arial"/>
          <w:b/>
          <w:sz w:val="24"/>
          <w:szCs w:val="24"/>
        </w:rPr>
      </w:pPr>
      <w:r>
        <w:rPr>
          <w:rFonts w:cs="Arial" w:ascii="Arial" w:hAnsi="Arial"/>
          <w:b/>
          <w:sz w:val="24"/>
          <w:szCs w:val="24"/>
        </w:rPr>
        <w:t>The Proposed voluntary CTR approach provides no incentive for rights holders to convert their rights and will result in a bifurcated system with inferior rights available to non-incumbents.</w:t>
      </w:r>
    </w:p>
    <w:p>
      <w:pPr>
        <w:pStyle w:val="Normal"/>
        <w:spacing w:lineRule="auto" w:line="360"/>
        <w:rPr/>
      </w:pPr>
      <w:r>
        <w:rPr>
          <w:rFonts w:cs="Arial" w:ascii="Arial" w:hAnsi="Arial"/>
          <w:sz w:val="24"/>
          <w:szCs w:val="24"/>
        </w:rPr>
        <w:t xml:space="preserve">As described in the proposal, holders of existing contract rights would have little reason to convert to RTO service.  Conversion would require PTO approval, an assurance of not damaging the PTO and potentially subject the “converter” to transmission access charges in the pricing proposal.  In addition, incumbents would be able to retain existing contract rights, exempting them from any congestion charges.  The net result is that incumbent utilities would be able to operate under the status quo with PTO service, while all others without existing long-term rights would be required to operate under the RTO rules and essentially be defaulted into an obviously inferior status for using the RTO West transmission system.  Not only does this create comparability problems, it makes it unlikely that there would be a viable FTO market to provide incumbents with any potential revenues that they would receive if there was, eliminating another financial incentive to convert rights. </w:t>
      </w:r>
    </w:p>
    <w:p>
      <w:pPr>
        <w:pStyle w:val="Normal"/>
        <w:numPr>
          <w:ilvl w:val="0"/>
          <w:numId w:val="2"/>
        </w:numPr>
        <w:spacing w:lineRule="auto" w:line="360"/>
        <w:rPr>
          <w:rFonts w:ascii="Arial" w:hAnsi="Arial" w:cs="Arial"/>
          <w:b/>
          <w:sz w:val="24"/>
          <w:szCs w:val="24"/>
        </w:rPr>
      </w:pPr>
      <w:r>
        <w:rPr>
          <w:rFonts w:cs="Arial" w:ascii="Arial" w:hAnsi="Arial"/>
          <w:b/>
          <w:sz w:val="24"/>
          <w:szCs w:val="24"/>
        </w:rPr>
        <w:t>The proposed conversion process creates the potential for market power abuse.</w:t>
      </w:r>
    </w:p>
    <w:p>
      <w:pPr>
        <w:pStyle w:val="Normal"/>
        <w:spacing w:lineRule="auto" w:line="360"/>
        <w:rPr/>
      </w:pPr>
      <w:r>
        <w:rPr>
          <w:rFonts w:cs="Arial" w:ascii="Arial" w:hAnsi="Arial"/>
          <w:sz w:val="24"/>
          <w:szCs w:val="24"/>
        </w:rPr>
        <w:t xml:space="preserve">Allowing existing contract holders to convert portions of their CTR capacity and to move capacity back and forth between CTR and FTO rights is a recipe for market manipulation.  With most transmission rights held by incumbents (either in the form of CTRs or FTOs) non-incumbents will be forced to rely on generator redispatch if they want to develop long-term hedges against congestion costs.  To the extent that much of the generation available for redispatch is owned or controlled by the same companies that own or control the long term transmission rights, these rights holders may have the opportunity to increase the value of their generation through selective conversion and release of transmission rights. Having the ability to use the transmission system to advantage one’s own generation is one of the problems that FERC wants to solve by creating RTOs </w:t>
      </w:r>
    </w:p>
    <w:p>
      <w:pPr>
        <w:pStyle w:val="Normal"/>
        <w:spacing w:lineRule="auto" w:line="360"/>
        <w:rPr>
          <w:rFonts w:ascii="Arial" w:hAnsi="Arial" w:cs="Arial"/>
          <w:sz w:val="24"/>
          <w:szCs w:val="24"/>
        </w:rPr>
      </w:pPr>
      <w:r>
        <w:rPr>
          <w:rFonts w:cs="Arial" w:ascii="Arial" w:hAnsi="Arial"/>
          <w:sz w:val="24"/>
          <w:szCs w:val="24"/>
        </w:rPr>
      </w:r>
    </w:p>
    <w:p>
      <w:pPr>
        <w:pStyle w:val="Normal"/>
        <w:numPr>
          <w:ilvl w:val="0"/>
          <w:numId w:val="2"/>
        </w:numPr>
        <w:spacing w:lineRule="auto" w:line="360"/>
        <w:rPr>
          <w:rFonts w:ascii="Arial" w:hAnsi="Arial" w:cs="Arial"/>
          <w:b/>
          <w:sz w:val="24"/>
          <w:szCs w:val="24"/>
        </w:rPr>
      </w:pPr>
      <w:r>
        <w:rPr>
          <w:rFonts w:cs="Arial" w:ascii="Arial" w:hAnsi="Arial"/>
          <w:b/>
          <w:sz w:val="24"/>
          <w:szCs w:val="24"/>
        </w:rPr>
        <w:t>Special status for load service is inconsistent with FERC policy and anti-competitive.</w:t>
      </w:r>
    </w:p>
    <w:p>
      <w:pPr>
        <w:pStyle w:val="Normal"/>
        <w:spacing w:lineRule="auto" w:line="360"/>
        <w:rPr/>
      </w:pPr>
      <w:r>
        <w:rPr>
          <w:rFonts w:cs="Arial" w:ascii="Arial" w:hAnsi="Arial"/>
          <w:sz w:val="24"/>
          <w:szCs w:val="24"/>
        </w:rPr>
        <w:t xml:space="preserve">The proposal also provides special status for native load service, including the ability to revise capacity set asides for “forecasted” load growth.  FERC was very clear on this exact issue in its draft Concept paper.  FERC’s Concept Discussion Paper states that an independent provider should offer </w:t>
      </w:r>
      <w:r>
        <w:rPr>
          <w:rFonts w:cs="Arial" w:ascii="Arial" w:hAnsi="Arial"/>
          <w:bCs/>
          <w:sz w:val="24"/>
          <w:szCs w:val="24"/>
        </w:rPr>
        <w:t>nondiscriminatory rates, terms and conditions of transmission service under the OATT to all transmission customers.  This requirement will not impair a PTO’s ability to serve its native load.  As long as a transmission owner retains the rights to the revenues from sale of FTOs, it will retain the ability to serve native load by purchasing capacity from itself at market prices.  Reserving load service rights off-the-top eliminates the valuable price signals that arise from the FTO auction process and further conceals the real value of the capacity.</w:t>
      </w:r>
    </w:p>
    <w:p>
      <w:pPr>
        <w:pStyle w:val="Normal"/>
        <w:numPr>
          <w:ilvl w:val="0"/>
          <w:numId w:val="2"/>
        </w:numPr>
        <w:spacing w:lineRule="auto" w:line="360"/>
        <w:rPr>
          <w:rFonts w:ascii="Arial" w:hAnsi="Arial" w:cs="Arial"/>
          <w:b/>
          <w:bCs/>
          <w:sz w:val="24"/>
          <w:szCs w:val="24"/>
        </w:rPr>
      </w:pPr>
      <w:r>
        <w:rPr>
          <w:rFonts w:cs="Arial" w:ascii="Arial" w:hAnsi="Arial"/>
          <w:b/>
          <w:bCs/>
          <w:sz w:val="24"/>
          <w:szCs w:val="24"/>
        </w:rPr>
        <w:t>Recommended Improvements</w:t>
      </w:r>
    </w:p>
    <w:p>
      <w:pPr>
        <w:pStyle w:val="Normal"/>
        <w:spacing w:lineRule="auto" w:line="360"/>
        <w:rPr/>
      </w:pPr>
      <w:r>
        <w:rPr>
          <w:rFonts w:cs="Arial" w:ascii="Arial" w:hAnsi="Arial"/>
          <w:bCs/>
          <w:sz w:val="24"/>
          <w:szCs w:val="24"/>
        </w:rPr>
        <w:t>CFACTS believes that maintaining the status quo for incumbents while having different rules for all other users of the system will not be acceptable to FERC.  Instead, CFACTS recommends that RTO West adopt as part of its congestion proposal a clear set of contract conversion principles to be developed and implemented by the RTO itself, not the incumbent filing utilities.  At a minimum, CFACTS recommends that the following contract conversion principles should include in the RTO West congestion model filed with FERC:</w:t>
      </w:r>
    </w:p>
    <w:p>
      <w:pPr>
        <w:pStyle w:val="Normal"/>
        <w:numPr>
          <w:ilvl w:val="0"/>
          <w:numId w:val="4"/>
        </w:numPr>
        <w:spacing w:lineRule="auto" w:line="360"/>
        <w:rPr>
          <w:rFonts w:ascii="Arial" w:hAnsi="Arial" w:cs="Arial"/>
          <w:bCs/>
          <w:sz w:val="24"/>
          <w:szCs w:val="24"/>
        </w:rPr>
      </w:pPr>
      <w:r>
        <w:rPr>
          <w:rFonts w:cs="Arial" w:ascii="Arial" w:hAnsi="Arial"/>
          <w:bCs/>
          <w:sz w:val="24"/>
          <w:szCs w:val="24"/>
        </w:rPr>
        <w:t>As part of RTO participation, all contracts and load service obligations must be converted to RTO service.</w:t>
      </w:r>
    </w:p>
    <w:p>
      <w:pPr>
        <w:pStyle w:val="Normal"/>
        <w:numPr>
          <w:ilvl w:val="0"/>
          <w:numId w:val="4"/>
        </w:numPr>
        <w:spacing w:lineRule="auto" w:line="360"/>
        <w:rPr>
          <w:rFonts w:ascii="Arial" w:hAnsi="Arial" w:cs="Arial"/>
          <w:bCs/>
          <w:sz w:val="24"/>
          <w:szCs w:val="24"/>
        </w:rPr>
      </w:pPr>
      <w:r>
        <w:rPr>
          <w:rFonts w:cs="Arial" w:ascii="Arial" w:hAnsi="Arial"/>
          <w:bCs/>
          <w:sz w:val="24"/>
          <w:szCs w:val="24"/>
        </w:rPr>
        <w:t>All FTOs created by conversion should be made available in an auction process.</w:t>
      </w:r>
    </w:p>
    <w:p>
      <w:pPr>
        <w:pStyle w:val="Normal"/>
        <w:numPr>
          <w:ilvl w:val="0"/>
          <w:numId w:val="4"/>
        </w:numPr>
        <w:spacing w:lineRule="auto" w:line="360"/>
        <w:rPr>
          <w:rFonts w:ascii="Arial" w:hAnsi="Arial" w:cs="Arial"/>
          <w:bCs/>
          <w:sz w:val="24"/>
          <w:szCs w:val="24"/>
        </w:rPr>
      </w:pPr>
      <w:r>
        <w:rPr>
          <w:rFonts w:cs="Arial" w:ascii="Arial" w:hAnsi="Arial"/>
          <w:bCs/>
          <w:sz w:val="24"/>
          <w:szCs w:val="24"/>
        </w:rPr>
        <w:t>Once a contract right is converted it cannot revert to its previous form.</w:t>
      </w:r>
    </w:p>
    <w:p>
      <w:pPr>
        <w:pStyle w:val="Normal"/>
        <w:numPr>
          <w:ilvl w:val="0"/>
          <w:numId w:val="4"/>
        </w:numPr>
        <w:spacing w:lineRule="auto" w:line="360"/>
        <w:rPr>
          <w:rFonts w:ascii="Arial" w:hAnsi="Arial" w:cs="Arial"/>
          <w:bCs/>
          <w:sz w:val="24"/>
          <w:szCs w:val="24"/>
        </w:rPr>
      </w:pPr>
      <w:r>
        <w:rPr>
          <w:rFonts w:cs="Arial" w:ascii="Arial" w:hAnsi="Arial"/>
          <w:bCs/>
          <w:sz w:val="24"/>
          <w:szCs w:val="24"/>
        </w:rPr>
        <w:t>Unconverted contracts with non-participants are to be terminated or converted by RTO participants at the earliest date allowed in the contract.</w:t>
      </w:r>
    </w:p>
    <w:p>
      <w:pPr>
        <w:pStyle w:val="Normal"/>
        <w:numPr>
          <w:ilvl w:val="0"/>
          <w:numId w:val="4"/>
        </w:numPr>
        <w:spacing w:lineRule="auto" w:line="360"/>
        <w:rPr>
          <w:rFonts w:ascii="Arial" w:hAnsi="Arial" w:cs="Arial"/>
          <w:bCs/>
          <w:sz w:val="24"/>
          <w:szCs w:val="24"/>
        </w:rPr>
      </w:pPr>
      <w:r>
        <w:rPr>
          <w:rFonts w:cs="Arial" w:ascii="Arial" w:hAnsi="Arial"/>
          <w:bCs/>
          <w:sz w:val="24"/>
          <w:szCs w:val="24"/>
        </w:rPr>
        <w:t xml:space="preserve">Entities, and affiliates of entities, that do not convert rights should not be granted market rate authorization for their generation resources. </w:t>
      </w:r>
    </w:p>
    <w:p>
      <w:pPr>
        <w:pStyle w:val="BodyText"/>
        <w:rPr>
          <w:rFonts w:ascii="Arial" w:hAnsi="Arial" w:cs="Arial"/>
          <w:bCs w:val="false"/>
          <w:i w:val="false"/>
          <w:i w:val="false"/>
          <w:sz w:val="24"/>
          <w:szCs w:val="24"/>
        </w:rPr>
      </w:pPr>
      <w:r>
        <w:rPr>
          <w:rFonts w:cs="Arial"/>
          <w:bCs w:val="false"/>
          <w:i w:val="false"/>
          <w:sz w:val="24"/>
          <w:szCs w:val="24"/>
        </w:rPr>
      </w:r>
    </w:p>
    <w:p>
      <w:pPr>
        <w:pStyle w:val="BodyText"/>
        <w:rPr>
          <w:i w:val="false"/>
          <w:i w:val="false"/>
        </w:rPr>
      </w:pPr>
      <w:r>
        <w:rPr>
          <w:i w:val="false"/>
        </w:rPr>
        <w:t>While the comparability and bifurcated market created by the contract conversion provisions are CFACTS’ primary concern with the Congestion Management proposal, there are other aspects of the proposal that need to be corrected to assure a workable, competitive RTO.</w:t>
      </w:r>
    </w:p>
    <w:p>
      <w:pPr>
        <w:pStyle w:val="BodyText"/>
        <w:rPr>
          <w:i w:val="false"/>
          <w:i w:val="false"/>
        </w:rPr>
      </w:pPr>
      <w:r>
        <w:rPr>
          <w:i w:val="false"/>
        </w:rPr>
      </w:r>
    </w:p>
    <w:p>
      <w:pPr>
        <w:pStyle w:val="Normal"/>
        <w:spacing w:lineRule="auto" w:line="360"/>
        <w:rPr>
          <w:rFonts w:ascii="Arial" w:hAnsi="Arial" w:cs="Arial"/>
          <w:b/>
          <w:bCs/>
          <w:sz w:val="24"/>
          <w:szCs w:val="24"/>
          <w:u w:val="single"/>
        </w:rPr>
      </w:pPr>
      <w:r>
        <w:rPr>
          <w:rFonts w:cs="Arial" w:ascii="Arial" w:hAnsi="Arial"/>
          <w:b/>
          <w:bCs/>
          <w:sz w:val="24"/>
          <w:szCs w:val="24"/>
          <w:u w:val="single"/>
        </w:rPr>
        <w:t xml:space="preserve">It is inappropriate for RTO West to take positions in the Market </w:t>
      </w:r>
    </w:p>
    <w:p>
      <w:pPr>
        <w:pStyle w:val="Normal"/>
        <w:spacing w:lineRule="auto" w:line="360"/>
        <w:rPr>
          <w:rFonts w:ascii="Arial" w:hAnsi="Arial" w:cs="Arial"/>
          <w:b/>
          <w:bCs/>
          <w:sz w:val="24"/>
          <w:szCs w:val="24"/>
          <w:u w:val="single"/>
        </w:rPr>
      </w:pPr>
      <w:r>
        <w:rPr>
          <w:rFonts w:cs="Arial" w:ascii="Arial" w:hAnsi="Arial"/>
          <w:b/>
          <w:bCs/>
          <w:sz w:val="24"/>
          <w:szCs w:val="24"/>
          <w:u w:val="single"/>
        </w:rPr>
      </w:r>
    </w:p>
    <w:p>
      <w:pPr>
        <w:pStyle w:val="Normal"/>
        <w:spacing w:lineRule="auto" w:line="360"/>
        <w:rPr>
          <w:rFonts w:ascii="Arial" w:hAnsi="Arial" w:cs="Arial"/>
          <w:sz w:val="24"/>
          <w:szCs w:val="24"/>
        </w:rPr>
      </w:pPr>
      <w:r>
        <w:rPr>
          <w:rFonts w:cs="Arial" w:ascii="Arial" w:hAnsi="Arial"/>
          <w:bCs/>
          <w:sz w:val="24"/>
          <w:szCs w:val="24"/>
        </w:rPr>
        <w:t>The proposal acknowledges that RTO West does not expect that the conversion process will result in any new transmission capacity for non-incumbents.  To overcome this problem, RTO West proposes that the RTO take forward positions in generator redispatch to create “virtual ATC” that could be used to meet the congestion hedging needs of non-incumbents.  Rather than improve market function and liquidity as CFACTS suggests, this aspect of the proposal would impair RTO independence and creditworthiness, confuse the RTO planning process and interfere with the development of efficient markets for redispatch services.  CFACTS recommends that the aspect of the proposal be removed from the RTO West congestion filing.</w:t>
      </w:r>
    </w:p>
    <w:p>
      <w:pPr>
        <w:pStyle w:val="Normal"/>
        <w:numPr>
          <w:ilvl w:val="0"/>
          <w:numId w:val="6"/>
        </w:numPr>
        <w:spacing w:lineRule="auto" w:line="360"/>
        <w:rPr>
          <w:rFonts w:ascii="Arial" w:hAnsi="Arial" w:cs="Arial"/>
          <w:b/>
          <w:sz w:val="24"/>
          <w:szCs w:val="24"/>
        </w:rPr>
      </w:pPr>
      <w:r>
        <w:rPr>
          <w:rFonts w:cs="Arial" w:ascii="Arial" w:hAnsi="Arial"/>
          <w:b/>
          <w:sz w:val="24"/>
          <w:szCs w:val="24"/>
        </w:rPr>
        <w:t>RTO role in acquiring/creating redispatch rights will impair RTO independence and creditworthiness</w:t>
      </w:r>
    </w:p>
    <w:p>
      <w:pPr>
        <w:pStyle w:val="Normal"/>
        <w:spacing w:lineRule="auto" w:line="360"/>
        <w:rPr/>
      </w:pPr>
      <w:r>
        <w:rPr>
          <w:rFonts w:cs="Arial" w:ascii="Arial" w:hAnsi="Arial"/>
          <w:sz w:val="24"/>
          <w:szCs w:val="24"/>
        </w:rPr>
        <w:t xml:space="preserve">To effectively maintain its independence, it is very important that the RTO not take any market positions that may predispose it to some course of action.  Taking forward positions on generator redispatch (buying long term incs and decs) could influence the RTO’s decisions on other actions to maintain the value of its market positions.  While the RTO may be able to pass the cost of bad decisions on to other market participants, it will tend to do what it can to minimize those losses, even if those actions result in a higher overall cost to the market.  In addition, increased RTO market participation means increased financial liability and possibly reduced creditworthiness.  </w:t>
      </w:r>
    </w:p>
    <w:p>
      <w:pPr>
        <w:pStyle w:val="Normal"/>
        <w:numPr>
          <w:ilvl w:val="0"/>
          <w:numId w:val="6"/>
        </w:numPr>
        <w:spacing w:lineRule="auto" w:line="360"/>
        <w:rPr>
          <w:rFonts w:ascii="Arial" w:hAnsi="Arial" w:cs="Arial"/>
          <w:b/>
          <w:sz w:val="24"/>
          <w:szCs w:val="24"/>
        </w:rPr>
      </w:pPr>
      <w:r>
        <w:rPr>
          <w:rFonts w:cs="Arial" w:ascii="Arial" w:hAnsi="Arial"/>
          <w:b/>
          <w:sz w:val="24"/>
          <w:szCs w:val="24"/>
        </w:rPr>
        <w:t>RTO Market participation has the potential to confuse the planning process</w:t>
      </w:r>
    </w:p>
    <w:p>
      <w:pPr>
        <w:pStyle w:val="Normal"/>
        <w:spacing w:lineRule="auto" w:line="360"/>
        <w:rPr>
          <w:rFonts w:ascii="Arial" w:hAnsi="Arial" w:cs="Arial"/>
          <w:sz w:val="24"/>
          <w:szCs w:val="24"/>
        </w:rPr>
      </w:pPr>
      <w:r>
        <w:rPr>
          <w:rFonts w:cs="Arial" w:ascii="Arial" w:hAnsi="Arial"/>
          <w:sz w:val="24"/>
          <w:szCs w:val="24"/>
        </w:rPr>
        <w:t>To the extent that  RTO West takes forward redispatch positions, it may find itself in a position to oppose cost-effective projects (transmission expansion, demand side management or generation) that eliminate the congestion that its forward hedge is intended to mitigate.  Such a conflict could put the RTO on the wrong side of planning disputes, supporting suboptimal solutions to protect its position, rather than looking out for the overall needs of the RTO system.</w:t>
      </w:r>
    </w:p>
    <w:p>
      <w:pPr>
        <w:pStyle w:val="Normal"/>
        <w:numPr>
          <w:ilvl w:val="0"/>
          <w:numId w:val="6"/>
        </w:numPr>
        <w:spacing w:lineRule="auto" w:line="360"/>
        <w:rPr>
          <w:rFonts w:ascii="Arial" w:hAnsi="Arial" w:cs="Arial"/>
          <w:b/>
          <w:sz w:val="24"/>
          <w:szCs w:val="24"/>
        </w:rPr>
      </w:pPr>
      <w:r>
        <w:rPr>
          <w:rFonts w:cs="Arial" w:ascii="Arial" w:hAnsi="Arial"/>
          <w:b/>
          <w:sz w:val="24"/>
          <w:szCs w:val="24"/>
        </w:rPr>
        <w:t xml:space="preserve">RTO market participation has the potential to create inefficiencies in the market </w:t>
      </w:r>
    </w:p>
    <w:p>
      <w:pPr>
        <w:pStyle w:val="Normal"/>
        <w:spacing w:lineRule="auto" w:line="360"/>
        <w:rPr>
          <w:rFonts w:ascii="Arial" w:hAnsi="Arial" w:cs="Arial"/>
          <w:sz w:val="24"/>
          <w:szCs w:val="24"/>
        </w:rPr>
      </w:pPr>
      <w:r>
        <w:rPr>
          <w:rFonts w:cs="Arial" w:ascii="Arial" w:hAnsi="Arial"/>
          <w:sz w:val="24"/>
          <w:szCs w:val="24"/>
        </w:rPr>
        <w:t>The basic assumption in granting the RTO the ability to take forward redispatch positions is that its “superior knowledge” of system conditions and future congestion puts it in a better position to predict what the market needs and acquire it most efficiently.  The last three years have clearly demonstrated that “superior knowledge” and forecasting skills cannot accurately predict market behavior.  Providing the economic decision-making authority to an entity that has neither an inherent market position nor a stake in the outcome of its economic decisions is a clear prescription for major problems and should be avoided.</w:t>
      </w:r>
    </w:p>
    <w:p>
      <w:pPr>
        <w:pStyle w:val="Heading1"/>
        <w:numPr>
          <w:ilvl w:val="0"/>
          <w:numId w:val="6"/>
        </w:numPr>
        <w:rPr/>
      </w:pPr>
      <w:r>
        <w:rPr/>
        <w:t>Recommended RTO Role</w:t>
      </w:r>
    </w:p>
    <w:p>
      <w:pPr>
        <w:pStyle w:val="Normal"/>
        <w:spacing w:lineRule="auto" w:line="360"/>
        <w:rPr>
          <w:rFonts w:ascii="Arial" w:hAnsi="Arial" w:cs="Arial"/>
          <w:sz w:val="24"/>
          <w:szCs w:val="24"/>
        </w:rPr>
      </w:pPr>
      <w:r>
        <w:rPr>
          <w:rFonts w:cs="Arial" w:ascii="Arial" w:hAnsi="Arial"/>
          <w:sz w:val="24"/>
          <w:szCs w:val="24"/>
        </w:rPr>
        <w:t>CFACTS does believe that RTO West has a unique position in the market and can serve a valuable role as intermediary and information resource in its markets.  To that end, CFACTS recommends that RTO West adhere to the following principles as far as its participation in the market:</w:t>
      </w:r>
    </w:p>
    <w:p>
      <w:pPr>
        <w:pStyle w:val="Normal"/>
        <w:numPr>
          <w:ilvl w:val="0"/>
          <w:numId w:val="4"/>
        </w:numPr>
        <w:spacing w:lineRule="auto" w:line="360"/>
        <w:rPr>
          <w:rFonts w:ascii="Arial" w:hAnsi="Arial" w:cs="Arial"/>
          <w:sz w:val="24"/>
          <w:szCs w:val="24"/>
        </w:rPr>
      </w:pPr>
      <w:r>
        <w:rPr>
          <w:rFonts w:cs="Arial" w:ascii="Arial" w:hAnsi="Arial"/>
          <w:sz w:val="24"/>
          <w:szCs w:val="24"/>
        </w:rPr>
        <w:t>Provide as much advance and real time information to market participants as possible to facilitate informed decision-making.</w:t>
      </w:r>
    </w:p>
    <w:p>
      <w:pPr>
        <w:pStyle w:val="Normal"/>
        <w:numPr>
          <w:ilvl w:val="0"/>
          <w:numId w:val="4"/>
        </w:numPr>
        <w:spacing w:lineRule="auto" w:line="360"/>
        <w:rPr>
          <w:rFonts w:ascii="Arial" w:hAnsi="Arial" w:cs="Arial"/>
          <w:sz w:val="24"/>
          <w:szCs w:val="24"/>
        </w:rPr>
      </w:pPr>
      <w:r>
        <w:rPr>
          <w:rFonts w:cs="Arial" w:ascii="Arial" w:hAnsi="Arial"/>
          <w:sz w:val="24"/>
          <w:szCs w:val="24"/>
        </w:rPr>
        <w:t>Make sure that resources (its own or third party providers’) are available to serve as intermediary between buyers and sellers of redispatch services on a forward basis, without the RTO taking uncovered positions in market.</w:t>
      </w:r>
    </w:p>
    <w:p>
      <w:pPr>
        <w:pStyle w:val="Normal"/>
        <w:numPr>
          <w:ilvl w:val="0"/>
          <w:numId w:val="4"/>
        </w:numPr>
        <w:spacing w:lineRule="auto" w:line="360"/>
        <w:rPr>
          <w:rFonts w:ascii="Arial" w:hAnsi="Arial" w:cs="Arial"/>
          <w:sz w:val="24"/>
          <w:szCs w:val="24"/>
        </w:rPr>
      </w:pPr>
      <w:r>
        <w:rPr>
          <w:rFonts w:cs="Arial" w:ascii="Arial" w:hAnsi="Arial"/>
          <w:sz w:val="24"/>
          <w:szCs w:val="24"/>
        </w:rPr>
        <w:t>Keep market design and operating rules as simple as possible to facilitate trade and transparency.</w:t>
      </w:r>
    </w:p>
    <w:p>
      <w:pPr>
        <w:pStyle w:val="Normal"/>
        <w:spacing w:lineRule="auto" w:line="360"/>
        <w:rPr>
          <w:rFonts w:ascii="Arial" w:hAnsi="Arial" w:cs="Arial"/>
          <w:sz w:val="24"/>
          <w:szCs w:val="24"/>
        </w:rPr>
      </w:pPr>
      <w:r>
        <w:rPr>
          <w:rFonts w:cs="Arial" w:ascii="Arial" w:hAnsi="Arial"/>
          <w:sz w:val="24"/>
          <w:szCs w:val="24"/>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w:ascii="Arial" w:hAnsi="Arial"/>
        </w:rPr>
        <w:t>CFACTS is the Coalition For A Competitive Transmission System, a group of market participants committed to the development of Western RTOs that provide for open non-discriminatory access to the transmission system to facilitate vibrantly competitive wholesale and retail electricity markets.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sz w:val="24"/>
        <w:szCs w:val="24"/>
      </w:rPr>
      <w:t xml:space="preserve">C-FACTS Comments </w:t>
      <w:tab/>
      <w:t xml:space="preserve">Page </w:t>
    </w:r>
    <w:r>
      <w:rPr>
        <w:rStyle w:val="PageNumber"/>
        <w:rFonts w:cs="Arial" w:ascii="Arial" w:hAnsi="Arial"/>
        <w:sz w:val="24"/>
        <w:szCs w:val="24"/>
      </w:rPr>
      <w:fldChar w:fldCharType="begin"/>
    </w:r>
    <w:r>
      <w:rPr>
        <w:rStyle w:val="PageNumber"/>
        <w:sz w:val="24"/>
        <w:szCs w:val="24"/>
        <w:rFonts w:cs="Arial" w:ascii="Arial" w:hAnsi="Arial"/>
      </w:rPr>
      <w:instrText xml:space="preserve"> PAGE </w:instrText>
    </w:r>
    <w:r>
      <w:rPr>
        <w:rStyle w:val="PageNumber"/>
        <w:sz w:val="24"/>
        <w:szCs w:val="24"/>
        <w:rFonts w:cs="Arial" w:ascii="Arial" w:hAnsi="Arial"/>
      </w:rPr>
      <w:fldChar w:fldCharType="separate"/>
    </w:r>
    <w:r>
      <w:rPr>
        <w:rStyle w:val="PageNumber"/>
        <w:sz w:val="24"/>
        <w:szCs w:val="24"/>
        <w:rFonts w:cs="Arial" w:ascii="Arial" w:hAnsi="Arial"/>
      </w:rPr>
      <w:t>6</w:t>
    </w:r>
    <w:r>
      <w:rPr>
        <w:rStyle w:val="PageNumber"/>
        <w:sz w:val="24"/>
        <w:szCs w:val="24"/>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360"/>
      <w:jc w:val="center"/>
      <w:rPr>
        <w:rFonts w:ascii="Arial" w:hAnsi="Arial" w:cs="Arial"/>
        <w:b/>
        <w:sz w:val="24"/>
        <w:szCs w:val="24"/>
      </w:rPr>
    </w:pPr>
    <w:r>
      <w:rPr>
        <w:rFonts w:cs="Arial" w:ascii="Arial" w:hAnsi="Arial"/>
        <w:b/>
        <w:sz w:val="24"/>
        <w:szCs w:val="24"/>
      </w:rPr>
      <w:t>C-FACTS Comments on RTO West Congestion Management Proposal</w:t>
    </w:r>
  </w:p>
  <w:p>
    <w:pPr>
      <w:pStyle w:val="Header"/>
      <w:rPr>
        <w:rFonts w:ascii="Arial" w:hAnsi="Arial" w:cs="Arial"/>
        <w:b/>
        <w:sz w:val="24"/>
        <w:szCs w:val="24"/>
      </w:rPr>
    </w:pPr>
    <w:r>
      <w:rPr>
        <w:rFonts w:cs="Arial" w:ascii="Arial" w:hAnsi="Arial"/>
        <w:b/>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rFonts w:ascii="Arial" w:hAnsi="Arial" w:cs="Arial"/>
      <w:b/>
      <w:sz w:val="24"/>
      <w:szCs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Arial" w:hAnsi="Arial" w:cs="Arial"/>
      <w:bCs/>
      <w:i/>
      <w:i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2002-01-11T12:49:00Z</dcterms:created>
  <dc:creator>Phillip Muller</dc:creator>
  <dc:description/>
  <dc:language>en-CA</dc:language>
  <cp:lastModifiedBy>Phillip Muller</cp:lastModifiedBy>
  <cp:lastPrinted>2002-01-09T17:33:00Z</cp:lastPrinted>
  <dcterms:modified xsi:type="dcterms:W3CDTF">2002-01-11T12:49:00Z</dcterms:modified>
  <cp:revision>2</cp:revision>
  <dc:subject/>
  <dc:title>C-FACTS Comments on RTO West Congestion Management Proposal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1340597861</vt:r8>
  </property>
  <property fmtid="{D5CDD505-2E9C-101B-9397-08002B2CF9AE}" pid="3" name="_AuthorEmail">
    <vt:lpwstr>philm@SCDEnergy.com</vt:lpwstr>
  </property>
  <property fmtid="{D5CDD505-2E9C-101B-9397-08002B2CF9AE}" pid="4" name="_AuthorEmailDisplayName">
    <vt:lpwstr>Phillip Muller</vt:lpwstr>
  </property>
  <property fmtid="{D5CDD505-2E9C-101B-9397-08002B2CF9AE}" pid="5" name="_EmailSubject">
    <vt:lpwstr>CFACTS Comments on RTO West White Papers</vt:lpwstr>
  </property>
  <property fmtid="{D5CDD505-2E9C-101B-9397-08002B2CF9AE}" pid="6" name="_PreviousAdHocReviewCycleID">
    <vt:r8>-1758965109</vt:r8>
  </property>
</Properties>
</file>