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CES AND ENA RETAIL</w:t>
      </w:r>
    </w:p>
    <w:p>
      <w:pPr>
        <w:pStyle w:val="Normal"/>
        <w:jc w:val="center"/>
        <w:rPr>
          <w:b/>
        </w:rPr>
      </w:pPr>
      <w:r>
        <w:rPr>
          <w:b/>
        </w:rPr>
      </w:r>
    </w:p>
    <w:p>
      <w:pPr>
        <w:pStyle w:val="Normal"/>
        <w:jc w:val="center"/>
        <w:rPr>
          <w:b/>
        </w:rPr>
      </w:pPr>
      <w:r>
        <w:rPr>
          <w:b/>
        </w:rPr>
        <w:t>ISSUE STATUS</w:t>
      </w:r>
    </w:p>
    <w:p>
      <w:pPr>
        <w:pStyle w:val="Normal"/>
        <w:jc w:val="center"/>
        <w:rPr>
          <w:b/>
        </w:rPr>
      </w:pPr>
      <w:r>
        <w:rPr>
          <w:b/>
        </w:rPr>
      </w:r>
    </w:p>
    <w:p>
      <w:pPr>
        <w:pStyle w:val="Normal"/>
        <w:jc w:val="center"/>
        <w:rPr>
          <w:b/>
        </w:rPr>
      </w:pPr>
      <w:r>
        <w:rPr>
          <w:b/>
        </w:rPr>
      </w:r>
    </w:p>
    <w:p>
      <w:pPr>
        <w:pStyle w:val="Normal"/>
        <w:jc w:val="both"/>
        <w:rPr/>
      </w:pPr>
      <w:r>
        <w:rPr/>
        <w:tab/>
        <w:t>Enron North America Corp. ("</w:t>
      </w:r>
      <w:r>
        <w:rPr>
          <w:u w:val="single"/>
        </w:rPr>
        <w:t>ENA</w:t>
      </w:r>
      <w:r>
        <w:rPr/>
        <w:t>") and Columbia Energy Services Corporation ("</w:t>
      </w:r>
      <w:r>
        <w:rPr>
          <w:u w:val="single"/>
        </w:rPr>
        <w:t>CES</w:t>
      </w:r>
      <w:r>
        <w:rPr/>
        <w:t>") met on January 7, 2000 to address issues outlined during the close of the CES/ENA transaction as well as other issues.  This note will update the status of the various issues to facilitate discussion at the meeting scheduled for January 12, 2000.</w:t>
      </w:r>
    </w:p>
    <w:p>
      <w:pPr>
        <w:pStyle w:val="Normal"/>
        <w:jc w:val="both"/>
        <w:rPr/>
      </w:pPr>
      <w:r>
        <w:rPr/>
      </w:r>
    </w:p>
    <w:p>
      <w:pPr>
        <w:pStyle w:val="Normal"/>
        <w:jc w:val="both"/>
        <w:rPr/>
      </w:pPr>
      <w:r>
        <w:rPr/>
        <w:tab/>
        <w:t>The issue list and status is as follows:</w:t>
      </w:r>
    </w:p>
    <w:p>
      <w:pPr>
        <w:pStyle w:val="Normal"/>
        <w:jc w:val="both"/>
        <w:rPr/>
      </w:pPr>
      <w:r>
        <w:rPr/>
      </w:r>
    </w:p>
    <w:p>
      <w:pPr>
        <w:pStyle w:val="Normal"/>
        <w:ind w:hanging="360" w:start="1080" w:end="0"/>
        <w:jc w:val="both"/>
        <w:rPr/>
      </w:pPr>
      <w:r>
        <w:rPr/>
        <w:t>1.</w:t>
        <w:tab/>
      </w:r>
      <w:r>
        <w:rPr>
          <w:u w:val="single"/>
        </w:rPr>
        <w:t>Transportation Contract #65403</w:t>
      </w:r>
      <w:r>
        <w:rPr/>
        <w:t xml:space="preserve"> – The parties agreed that the contract will be treated as a retail asset for the period January 1, 2000 through March 31, 2000 and as such handled pursuant to the terms of the Gas Supply Asset Assignment and Agency Agreement.  For the period April 1, 2000 through April 30, 2001, the contract will be a wholesale asset that is transferred to ENA.  ENA will value that portion of the contract and the value will become part of the true up.</w:t>
      </w:r>
    </w:p>
    <w:p>
      <w:pPr>
        <w:pStyle w:val="Normal"/>
        <w:ind w:hanging="360" w:start="1080" w:end="0"/>
        <w:jc w:val="both"/>
        <w:rPr/>
      </w:pPr>
      <w:r>
        <w:rPr/>
      </w:r>
    </w:p>
    <w:p>
      <w:pPr>
        <w:pStyle w:val="Normal"/>
        <w:ind w:hanging="360" w:start="1080" w:end="0"/>
        <w:jc w:val="both"/>
        <w:rPr/>
      </w:pPr>
      <w:r>
        <w:rPr/>
        <w:t>2.</w:t>
        <w:tab/>
      </w:r>
      <w:r>
        <w:rPr>
          <w:u w:val="single"/>
        </w:rPr>
        <w:t>Verification of Exhibit 1 data – pricing</w:t>
      </w:r>
      <w:r>
        <w:rPr/>
        <w:t xml:space="preserve"> – Noel Bartlo will be revising Exhibit 1 of the Gas Purchase Agreement to include language stating that the monthly release covers the entire retail load.  Also, under East Tennessee asset backed deliveries, the index adjustment for January, 2000 is $0.0600 and Noel Bartlo will make the revision.</w:t>
      </w:r>
    </w:p>
    <w:p>
      <w:pPr>
        <w:pStyle w:val="Normal"/>
        <w:ind w:hanging="360" w:start="1080" w:end="0"/>
        <w:jc w:val="both"/>
        <w:rPr/>
      </w:pPr>
      <w:r>
        <w:rPr/>
      </w:r>
    </w:p>
    <w:p>
      <w:pPr>
        <w:pStyle w:val="Normal"/>
        <w:ind w:hanging="360" w:start="1080" w:end="0"/>
        <w:jc w:val="both"/>
        <w:rPr/>
      </w:pPr>
      <w:r>
        <w:rPr/>
        <w:t>3.</w:t>
        <w:tab/>
      </w:r>
      <w:r>
        <w:rPr>
          <w:u w:val="single"/>
        </w:rPr>
        <w:t>Other Contract Issues</w:t>
      </w:r>
      <w:r>
        <w:rPr/>
        <w:t xml:space="preserve">.  Discussions were held over a number of issues including buy backs and incremental deals.  A general approach presented for buy backs involved extending the nomination deadlines to one hour before LDC nomination with agreement on the </w:t>
      </w:r>
      <w:r>
        <w:rPr>
          <w:u w:val="single"/>
        </w:rPr>
        <w:t>Gas Daily</w:t>
      </w:r>
      <w:r>
        <w:rPr/>
        <w:t xml:space="preserve"> pricing.  Areas discussed for agreement were TECO Pool, CNG South Pool, Tetco M3, Transco Zone 6 (Non-NY), MichCon, Chicago and all production areas.  Incremental deals were discussed and a general procedure put forward involving the use of financial swaps.</w:t>
      </w:r>
    </w:p>
    <w:p>
      <w:pPr>
        <w:pStyle w:val="Normal"/>
        <w:ind w:hanging="360" w:start="1080" w:end="0"/>
        <w:jc w:val="both"/>
        <w:rPr/>
      </w:pPr>
      <w:r>
        <w:rPr/>
      </w:r>
    </w:p>
    <w:p>
      <w:pPr>
        <w:pStyle w:val="Normal"/>
        <w:ind w:hanging="360" w:start="1080" w:end="0"/>
        <w:jc w:val="both"/>
        <w:rPr/>
      </w:pPr>
      <w:r>
        <w:rPr/>
        <w:t>4.</w:t>
        <w:tab/>
      </w:r>
      <w:r>
        <w:rPr>
          <w:u w:val="single"/>
        </w:rPr>
        <w:t>Finalize storage proxy schedules and agree on pricing mechanism for theoretical versus physical storage</w:t>
      </w:r>
      <w:r>
        <w:rPr/>
        <w:t xml:space="preserve"> – Preliminary discussions were held, but the issue remains open.</w:t>
      </w:r>
    </w:p>
    <w:p>
      <w:pPr>
        <w:pStyle w:val="Normal"/>
        <w:ind w:hanging="360" w:start="1080" w:end="0"/>
        <w:jc w:val="both"/>
        <w:rPr/>
      </w:pPr>
      <w:r>
        <w:rPr/>
      </w:r>
    </w:p>
    <w:p>
      <w:pPr>
        <w:pStyle w:val="Normal"/>
        <w:ind w:hanging="360" w:start="1080" w:end="0"/>
        <w:jc w:val="both"/>
        <w:rPr/>
      </w:pPr>
      <w:r>
        <w:rPr/>
        <w:t>5.</w:t>
        <w:tab/>
      </w:r>
      <w:r>
        <w:rPr>
          <w:u w:val="single"/>
        </w:rPr>
        <w:t>Intrading nomination procedures</w:t>
      </w:r>
      <w:r>
        <w:rPr/>
        <w:t xml:space="preserve"> – The issue remains open.</w:t>
      </w:r>
    </w:p>
    <w:p>
      <w:pPr>
        <w:pStyle w:val="Normal"/>
        <w:ind w:hanging="360" w:start="1080" w:end="0"/>
        <w:jc w:val="both"/>
        <w:rPr/>
      </w:pPr>
      <w:r>
        <w:rPr/>
      </w:r>
    </w:p>
    <w:p>
      <w:pPr>
        <w:pStyle w:val="Normal"/>
        <w:ind w:hanging="360" w:start="1080" w:end="0"/>
        <w:jc w:val="both"/>
        <w:rPr/>
      </w:pPr>
      <w:r>
        <w:rPr/>
        <w:t>6.</w:t>
        <w:tab/>
      </w:r>
      <w:r>
        <w:rPr>
          <w:u w:val="single"/>
        </w:rPr>
        <w:t>Finalize reconciliation process for projected forward volumes vs. actual volumes</w:t>
      </w:r>
      <w:r>
        <w:rPr/>
        <w:t xml:space="preserve"> –</w:t>
      </w:r>
      <w:r>
        <w:rPr>
          <w:u w:val="single"/>
        </w:rPr>
        <w:t xml:space="preserve"> </w:t>
      </w:r>
      <w:r>
        <w:rPr/>
        <w:t>The issue remains open.</w:t>
      </w:r>
    </w:p>
    <w:p>
      <w:pPr>
        <w:pStyle w:val="Normal"/>
        <w:ind w:hanging="360" w:start="1080" w:end="0"/>
        <w:jc w:val="both"/>
        <w:rPr/>
      </w:pPr>
      <w:r>
        <w:rPr/>
      </w:r>
    </w:p>
    <w:p>
      <w:pPr>
        <w:pStyle w:val="Normal"/>
        <w:ind w:hanging="360" w:start="1080" w:end="0"/>
        <w:jc w:val="both"/>
        <w:rPr/>
      </w:pPr>
      <w:r>
        <w:rPr/>
        <w:t>7.</w:t>
        <w:tab/>
      </w:r>
      <w:r>
        <w:rPr>
          <w:u w:val="single"/>
        </w:rPr>
        <w:t>Real vs. Wholesale</w:t>
      </w:r>
      <w:r>
        <w:rPr/>
        <w:t xml:space="preserve"> – Bethlehem Steel and Allied Signal are retail customers with ENA as agent for capacity.  CALP and GELP are wholesale deals to be evaluated by ENA.  CES is to provide copies of the contracts.</w:t>
      </w:r>
    </w:p>
    <w:p>
      <w:pPr>
        <w:pStyle w:val="Normal"/>
        <w:ind w:hanging="360" w:start="1080" w:end="0"/>
        <w:jc w:val="both"/>
        <w:rPr/>
      </w:pPr>
      <w:r>
        <w:rPr/>
      </w:r>
    </w:p>
    <w:p>
      <w:pPr>
        <w:pStyle w:val="Normal"/>
        <w:ind w:hanging="360" w:start="1080" w:end="0"/>
        <w:jc w:val="both"/>
        <w:rPr/>
      </w:pPr>
      <w:r>
        <w:rPr/>
        <w:t>8.</w:t>
        <w:tab/>
      </w:r>
      <w:r>
        <w:rPr>
          <w:u w:val="single"/>
        </w:rPr>
        <w:t>Nomination issues</w:t>
      </w:r>
      <w:r>
        <w:rPr/>
        <w:t>:</w:t>
      </w:r>
    </w:p>
    <w:p>
      <w:pPr>
        <w:pStyle w:val="Normal"/>
        <w:ind w:hanging="360" w:start="1080" w:end="0"/>
        <w:jc w:val="both"/>
        <w:rPr/>
      </w:pPr>
      <w:r>
        <w:rPr/>
      </w:r>
    </w:p>
    <w:p>
      <w:pPr>
        <w:pStyle w:val="Normal"/>
        <w:ind w:hanging="446" w:start="1526" w:end="0"/>
        <w:jc w:val="both"/>
        <w:rPr/>
      </w:pPr>
      <w:r>
        <w:rPr/>
        <w:t>a.)</w:t>
        <w:tab/>
      </w:r>
      <w:r>
        <w:rPr>
          <w:u w:val="single"/>
        </w:rPr>
        <w:t>load estimation (specifically AGL)</w:t>
      </w:r>
      <w:r>
        <w:rPr/>
        <w:t xml:space="preserve"> – This is to be a CES responsibility.</w:t>
      </w:r>
    </w:p>
    <w:p>
      <w:pPr>
        <w:pStyle w:val="Normal"/>
        <w:ind w:hanging="446" w:start="1526" w:end="0"/>
        <w:jc w:val="both"/>
        <w:rPr/>
      </w:pPr>
      <w:r>
        <w:rPr/>
      </w:r>
    </w:p>
    <w:p>
      <w:pPr>
        <w:pStyle w:val="Normal"/>
        <w:ind w:hanging="446" w:start="1526" w:end="0"/>
        <w:jc w:val="both"/>
        <w:rPr/>
      </w:pPr>
      <w:r>
        <w:rPr/>
        <w:t>b.)</w:t>
        <w:tab/>
      </w:r>
      <w:r>
        <w:rPr>
          <w:u w:val="single"/>
        </w:rPr>
        <w:t>review nomination charge deadline and associated pricing</w:t>
      </w:r>
      <w:r>
        <w:rPr/>
        <w:t xml:space="preserve"> – see item 3 above.</w:t>
      </w:r>
    </w:p>
    <w:p>
      <w:pPr>
        <w:pStyle w:val="Normal"/>
        <w:ind w:hanging="360" w:start="1080" w:end="0"/>
        <w:jc w:val="both"/>
        <w:rPr/>
      </w:pPr>
      <w:r>
        <w:rPr/>
        <w:t>9.</w:t>
        <w:tab/>
      </w:r>
      <w:r>
        <w:rPr>
          <w:u w:val="single"/>
        </w:rPr>
        <w:t>Data exchanges</w:t>
      </w:r>
      <w:r>
        <w:rPr/>
        <w:t xml:space="preserve"> – The parties agreed to formalize operations communications on the pricing side and the transport side.</w:t>
      </w:r>
    </w:p>
    <w:p>
      <w:pPr>
        <w:pStyle w:val="Normal"/>
        <w:ind w:hanging="360" w:start="1080" w:end="0"/>
        <w:jc w:val="both"/>
        <w:rPr/>
      </w:pPr>
      <w:r>
        <w:rPr/>
      </w:r>
    </w:p>
    <w:p>
      <w:pPr>
        <w:pStyle w:val="Normal"/>
        <w:ind w:hanging="360" w:start="1080" w:end="0"/>
        <w:jc w:val="both"/>
        <w:rPr/>
      </w:pPr>
      <w:r>
        <w:rPr/>
        <w:t>10.</w:t>
        <w:tab/>
      </w:r>
      <w:r>
        <w:rPr>
          <w:u w:val="single"/>
        </w:rPr>
        <w:t>Miscellaneous</w:t>
      </w:r>
      <w:r>
        <w:rPr/>
        <w:t xml:space="preserve"> – ENA and CES agreed to add AGL to Attachment 2 of the Gas Purchase Agreement.</w:t>
      </w:r>
    </w:p>
    <w:p>
      <w:pPr>
        <w:pStyle w:val="Normal"/>
        <w:ind w:hanging="360" w:start="1080" w:end="0"/>
        <w:jc w:val="both"/>
        <w:rPr>
          <w:u w:val="single"/>
        </w:rPr>
      </w:pPr>
      <w:r>
        <w:rPr>
          <w:u w:val="single"/>
        </w:rPr>
      </w:r>
    </w:p>
    <w:p>
      <w:pPr>
        <w:pStyle w:val="Normal"/>
        <w:ind w:hanging="360" w:start="1080" w:end="0"/>
        <w:jc w:val="both"/>
        <w:rPr>
          <w:u w:val="single"/>
        </w:rPr>
      </w:pPr>
      <w:r>
        <w:rPr>
          <w:u w:val="single"/>
        </w:rPr>
      </w:r>
    </w:p>
    <w:p>
      <w:pPr>
        <w:pStyle w:val="Normal"/>
        <w:ind w:hanging="360" w:start="1080" w:end="0"/>
        <w:jc w:val="both"/>
        <w:rPr>
          <w:u w:val="single"/>
        </w:rPr>
      </w:pPr>
      <w:r>
        <w:rPr>
          <w:u w:val="single"/>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lang w:eastAsia="en-US"/>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/mnt/main-storage/datasets/enron-docs/doc/CES_AND_ENA_RETAIL.doc</w:t>
    </w:r>
    <w:r>
      <w:rPr>
        <w:sz w:val="10"/>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CES and ENA</w:t>
    </w:r>
  </w:p>
  <w:p>
    <w:pPr>
      <w:pStyle w:val="Header"/>
      <w:rPr/>
    </w:pPr>
    <w:r>
      <w:rPr/>
      <w:t>Retail Issue Status</w:t>
    </w:r>
  </w:p>
  <w:p>
    <w:pPr>
      <w:pStyle w:val="Header"/>
      <w:rPr/>
    </w:pPr>
    <w:r>
      <w:rPr/>
      <w:t>Page 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2000-01-11T14:54:00Z</dcterms:created>
  <dc:creator>jhelton</dc:creator>
  <dc:description/>
  <dc:language>en-CA</dc:language>
  <cp:lastModifiedBy>jhelton</cp:lastModifiedBy>
  <cp:lastPrinted>2000-01-11T14:06:00Z</cp:lastPrinted>
  <dcterms:modified xsi:type="dcterms:W3CDTF">2000-01-11T17:38:00Z</dcterms:modified>
  <cp:revision>2</cp:revision>
  <dc:subject/>
  <dc:title>CES AND ENA RETAIL</dc:title>
</cp:coreProperties>
</file>