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California Energy Solutions Group</w:t>
      </w:r>
    </w:p>
    <w:p>
      <w:pPr>
        <w:pStyle w:val="Heading"/>
        <w:rPr/>
      </w:pPr>
      <w:r>
        <w:rPr/>
      </w:r>
    </w:p>
    <w:p>
      <w:pPr>
        <w:pStyle w:val="Heading"/>
        <w:rPr>
          <w:caps w:val="false"/>
          <w:smallCaps w:val="false"/>
          <w:sz w:val="24"/>
        </w:rPr>
      </w:pPr>
      <w:r>
        <w:rPr>
          <w:caps w:val="false"/>
          <w:smallCaps w:val="false"/>
          <w:sz w:val="24"/>
        </w:rPr>
        <w:t>Straw Proposal for Resolution of</w:t>
      </w:r>
    </w:p>
    <w:p>
      <w:pPr>
        <w:pStyle w:val="Heading"/>
        <w:rPr>
          <w:caps w:val="false"/>
          <w:smallCaps w:val="false"/>
        </w:rPr>
      </w:pPr>
      <w:r>
        <w:rPr>
          <w:caps w:val="false"/>
          <w:smallCaps w:val="false"/>
          <w:sz w:val="24"/>
        </w:rPr>
        <w:t>Short-Run Procurement and Rate Issues</w:t>
      </w:r>
    </w:p>
    <w:p>
      <w:pPr>
        <w:pStyle w:val="Normal"/>
        <w:rPr>
          <w:b/>
          <w:bCs/>
          <w:smallCaps/>
          <w:sz w:val="28"/>
        </w:rPr>
      </w:pPr>
      <w:r>
        <w:rPr>
          <w:b/>
          <w:bCs/>
          <w:smallCaps/>
          <w:sz w:val="28"/>
        </w:rPr>
      </w:r>
    </w:p>
    <w:p>
      <w:pPr>
        <w:pStyle w:val="Normal"/>
        <w:rPr>
          <w:b/>
          <w:bCs/>
        </w:rPr>
      </w:pPr>
      <w:r>
        <w:rPr>
          <w:b/>
          <w:bCs/>
        </w:rPr>
        <w:t>1</w:t>
        <w:tab/>
        <w:t>Utility Generation Assets</w:t>
      </w:r>
    </w:p>
    <w:p>
      <w:pPr>
        <w:pStyle w:val="Normal"/>
        <w:rPr>
          <w:b/>
          <w:bCs/>
        </w:rPr>
      </w:pPr>
      <w:r>
        <w:rPr>
          <w:b/>
          <w:bCs/>
        </w:rPr>
      </w:r>
    </w:p>
    <w:p>
      <w:pPr>
        <w:pStyle w:val="BodyTextIndent2"/>
        <w:ind w:start="1440" w:end="0"/>
        <w:rPr/>
      </w:pPr>
      <w:r>
        <w:rPr/>
        <w:t>a/</w:t>
        <w:tab/>
        <w:t>The utility shall retain the entitlement to the output of generation plant owned as of December 31, 2000.  Entitlement may be exercised, at the CPUC’s discretion, through (1) retention of plant ownership or (2) plant divestiture conditioned on the execution by the purchaser and the utility of a full output power purchase agreement for a minimum term of two years.</w:t>
      </w:r>
    </w:p>
    <w:p>
      <w:pPr>
        <w:pStyle w:val="BodyTextIndent2"/>
        <w:ind w:start="1440" w:end="0"/>
        <w:rPr/>
      </w:pPr>
      <w:r>
        <w:rPr/>
      </w:r>
    </w:p>
    <w:p>
      <w:pPr>
        <w:pStyle w:val="BodyTextIndent2"/>
        <w:ind w:start="1440" w:end="0"/>
        <w:rPr/>
      </w:pPr>
      <w:r>
        <w:rPr/>
        <w:t>b/</w:t>
        <w:tab/>
        <w:t xml:space="preserve">The retained output of utility- owned generation plant shall be committed to serve the utility’s “native load”, including both small and large customer load.    </w:t>
      </w:r>
    </w:p>
    <w:p>
      <w:pPr>
        <w:pStyle w:val="BodyTextIndent2"/>
        <w:ind w:start="1440" w:end="0"/>
        <w:rPr/>
      </w:pPr>
      <w:r>
        <w:rPr/>
      </w:r>
    </w:p>
    <w:p>
      <w:pPr>
        <w:pStyle w:val="BodyTextIndent2"/>
        <w:ind w:start="1440" w:end="0"/>
        <w:rPr/>
      </w:pPr>
      <w:r>
        <w:rPr/>
        <w:t>c/</w:t>
        <w:tab/>
        <w:t xml:space="preserve">Whether retained or divested, the plant output should be included in the utility portfolio(s) at a kWh price determined through an interim valuation.  The interim valuation should be based on the price at which the plant was or would have been divested, an amortized portion of projected capital investments over a two-year planning horizon and a reasonable level of return reflecting the risk or market conditions.  </w:t>
      </w:r>
    </w:p>
    <w:p>
      <w:pPr>
        <w:pStyle w:val="Normal"/>
        <w:rPr>
          <w:b/>
          <w:bCs/>
        </w:rPr>
      </w:pPr>
      <w:r>
        <w:rPr>
          <w:b/>
          <w:bCs/>
        </w:rPr>
      </w:r>
    </w:p>
    <w:p>
      <w:pPr>
        <w:pStyle w:val="Heading1"/>
        <w:ind w:hanging="0" w:start="0"/>
        <w:rPr/>
      </w:pPr>
      <w:r>
        <w:rPr/>
        <w:t>2</w:t>
        <w:tab/>
        <w:t>Forward Contracting</w:t>
      </w:r>
    </w:p>
    <w:p>
      <w:pPr>
        <w:pStyle w:val="Normal"/>
        <w:rPr/>
      </w:pPr>
      <w:r>
        <w:rPr/>
      </w:r>
    </w:p>
    <w:p>
      <w:pPr>
        <w:pStyle w:val="BodyTextIndent"/>
        <w:rPr/>
      </w:pPr>
      <w:r>
        <w:rPr/>
        <w:t>a/</w:t>
        <w:tab/>
        <w:t xml:space="preserve">The utilities shall be encouraged to execute forward contracts to serve their native load.   With the entitlement to existing generation assets committed to serve native load, utilities will be positioned to procure from </w:t>
      </w:r>
      <w:r>
        <w:rPr>
          <w:b/>
          <w:bCs/>
        </w:rPr>
        <w:t xml:space="preserve">[XX%] </w:t>
      </w:r>
      <w:r>
        <w:rPr/>
        <w:t xml:space="preserve">to </w:t>
      </w:r>
      <w:r>
        <w:rPr>
          <w:b/>
          <w:bCs/>
        </w:rPr>
        <w:t>[XX%]</w:t>
      </w:r>
      <w:r>
        <w:rPr/>
        <w:t xml:space="preserve"> of their total portfolio in a mix of spot and forward contracts.</w:t>
        <w:tab/>
        <w:tab/>
      </w:r>
    </w:p>
    <w:p>
      <w:pPr>
        <w:pStyle w:val="BodyTextIndent"/>
        <w:rPr/>
      </w:pPr>
      <w:r>
        <w:rPr/>
      </w:r>
    </w:p>
    <w:p>
      <w:pPr>
        <w:pStyle w:val="BodyTextIndent"/>
        <w:rPr/>
      </w:pPr>
      <w:r>
        <w:rPr/>
        <w:t>b/</w:t>
        <w:tab/>
        <w:t xml:space="preserve">A forward contract executed prior to December 31, 2000 shall be deemed </w:t>
      </w:r>
      <w:r>
        <w:rPr>
          <w:i/>
          <w:iCs/>
        </w:rPr>
        <w:t>per se</w:t>
      </w:r>
      <w:r>
        <w:rPr/>
        <w:t xml:space="preserve"> reasonable given the extreme level of volatility in the electricity market and the strong regulatory directive to secure forward contracts.</w:t>
        <w:tab/>
      </w:r>
    </w:p>
    <w:p>
      <w:pPr>
        <w:pStyle w:val="Normal"/>
        <w:ind w:hanging="720" w:start="1440" w:end="0"/>
        <w:rPr/>
      </w:pPr>
      <w:r>
        <w:rPr/>
      </w:r>
    </w:p>
    <w:p>
      <w:pPr>
        <w:pStyle w:val="Normal"/>
        <w:ind w:hanging="720" w:start="1440" w:end="0"/>
        <w:rPr/>
      </w:pPr>
      <w:r>
        <w:rPr/>
        <w:t>c/</w:t>
        <w:tab/>
        <w:t>A forward contract executed between January 1, 2001 and  December 31, 2001, shall be deemed reasonable provided that:</w:t>
      </w:r>
    </w:p>
    <w:p>
      <w:pPr>
        <w:pStyle w:val="Normal"/>
        <w:rPr>
          <w:b/>
          <w:bCs/>
        </w:rPr>
      </w:pPr>
      <w:r>
        <w:rPr>
          <w:b/>
          <w:bCs/>
        </w:rPr>
      </w:r>
    </w:p>
    <w:p>
      <w:pPr>
        <w:pStyle w:val="Normal"/>
        <w:ind w:hanging="720" w:start="2160" w:end="0"/>
        <w:rPr/>
      </w:pPr>
      <w:r>
        <w:rPr/>
        <w:t>(1)</w:t>
        <w:tab/>
        <w:t xml:space="preserve">The contract was a result of a competitive solicitation that was designed to ensure broad participation among regional generation resources by: </w:t>
      </w:r>
      <w:r>
        <w:rPr>
          <w:b/>
          <w:bCs/>
        </w:rPr>
        <w:t xml:space="preserve"> [SCE/AES/Enron: generalized description of solicitation criteria]  </w:t>
      </w:r>
      <w:r>
        <w:rPr/>
        <w:t>and</w:t>
      </w:r>
    </w:p>
    <w:p>
      <w:pPr>
        <w:pStyle w:val="Normal"/>
        <w:ind w:start="1440" w:end="0"/>
        <w:rPr>
          <w:b/>
          <w:bCs/>
        </w:rPr>
      </w:pPr>
      <w:r>
        <w:rPr>
          <w:b/>
          <w:bCs/>
        </w:rPr>
      </w:r>
    </w:p>
    <w:p>
      <w:pPr>
        <w:pStyle w:val="Normal"/>
        <w:ind w:hanging="720" w:start="2160" w:end="0"/>
        <w:rPr/>
      </w:pPr>
      <w:r>
        <w:rPr/>
        <w:t>(2)</w:t>
        <w:tab/>
        <w:t xml:space="preserve">The contract price falls with </w:t>
      </w:r>
      <w:r>
        <w:rPr>
          <w:b/>
          <w:bCs/>
        </w:rPr>
        <w:t xml:space="preserve">[xx%] </w:t>
      </w:r>
      <w:r>
        <w:rPr/>
        <w:t xml:space="preserve"> of </w:t>
      </w:r>
      <w:r>
        <w:rPr>
          <w:b/>
          <w:bCs/>
        </w:rPr>
        <w:t xml:space="preserve">[5 cents/kWh, benchmark, index or other price references as proposed by TURN, SCE, AES, Enron or PX] </w:t>
      </w:r>
      <w:r>
        <w:rPr/>
        <w:t>measured at the time of contract execution.</w:t>
      </w:r>
    </w:p>
    <w:p>
      <w:pPr>
        <w:pStyle w:val="Normal"/>
        <w:rPr>
          <w:b/>
          <w:bCs/>
        </w:rPr>
      </w:pPr>
      <w:r>
        <w:rPr>
          <w:b/>
          <w:bCs/>
        </w:rPr>
      </w:r>
    </w:p>
    <w:p>
      <w:pPr>
        <w:pStyle w:val="BodyTextIndent2"/>
        <w:ind w:start="1440" w:end="0"/>
        <w:rPr/>
      </w:pPr>
      <w:r>
        <w:rPr/>
        <w:t>d/</w:t>
        <w:tab/>
        <w:t>The Commission shall direct the implementation of a performance based benchmark mechanism effective January 1, 2002, against which the reasonableness of the utility portfolio price shall be measured.  The benchmark mechanism shall include a composite price benchmark and a single or tiered tolerance band around the benchmark to delineate the sharing by shareholders and ratepayers of the risks and rewards.  The benchmark shall be reviewed, and if necessary adjusted, annually.</w:t>
      </w:r>
    </w:p>
    <w:p>
      <w:pPr>
        <w:pStyle w:val="Normal"/>
        <w:ind w:start="1440" w:end="0"/>
        <w:rPr/>
      </w:pPr>
      <w:r>
        <w:rPr/>
      </w:r>
    </w:p>
    <w:p>
      <w:pPr>
        <w:pStyle w:val="Normal"/>
        <w:ind w:hanging="720" w:start="1440" w:end="0"/>
        <w:rPr/>
      </w:pPr>
      <w:r>
        <w:rPr/>
        <w:t>e/</w:t>
        <w:tab/>
        <w:t xml:space="preserve">To minimize the risk of further “stranded” costs resulting from the execution of long-term contracts and the subsequent departure of customers from the utility portfolio: </w:t>
      </w:r>
      <w:r>
        <w:rPr>
          <w:b/>
          <w:bCs/>
        </w:rPr>
        <w:t>[Proposals Anticipated, but the following are points of discussion we had on Tuesday].</w:t>
      </w:r>
    </w:p>
    <w:p>
      <w:pPr>
        <w:pStyle w:val="Normal"/>
        <w:ind w:hanging="720" w:start="1440" w:end="0"/>
        <w:rPr>
          <w:b/>
          <w:bCs/>
        </w:rPr>
      </w:pPr>
      <w:r>
        <w:rPr>
          <w:b/>
          <w:bCs/>
        </w:rPr>
      </w:r>
    </w:p>
    <w:p>
      <w:pPr>
        <w:pStyle w:val="BodyTextIndent2"/>
        <w:rPr/>
      </w:pPr>
      <w:r>
        <w:rPr/>
        <w:t>(1)</w:t>
      </w:r>
      <w:r>
        <w:rPr>
          <w:b/>
          <w:bCs/>
        </w:rPr>
        <w:tab/>
      </w:r>
      <w:r>
        <w:rPr/>
        <w:t>Portfolio guidelines should be implemented to account for customer departure from the utility portfolio at a specified rate, subject to periodic adjustment.</w:t>
      </w:r>
    </w:p>
    <w:p>
      <w:pPr>
        <w:pStyle w:val="BodyTextIndent2"/>
        <w:rPr/>
      </w:pPr>
      <w:r>
        <w:rPr/>
      </w:r>
    </w:p>
    <w:p>
      <w:pPr>
        <w:pStyle w:val="BodyTextIndent2"/>
        <w:numPr>
          <w:ilvl w:val="0"/>
          <w:numId w:val="3"/>
        </w:numPr>
        <w:tabs>
          <w:tab w:val="clear" w:pos="720"/>
          <w:tab w:val="left" w:pos="2160" w:leader="none"/>
        </w:tabs>
        <w:ind w:hanging="720" w:start="2160" w:end="0"/>
        <w:rPr/>
      </w:pPr>
      <w:r>
        <w:rPr/>
        <w:t>A bifurcated portfolio for large and small customers should be developed, with shorter term forward contracts for large customers.</w:t>
      </w:r>
    </w:p>
    <w:p>
      <w:pPr>
        <w:pStyle w:val="BodyTextIndent2"/>
        <w:ind w:hanging="0" w:start="1440" w:end="0"/>
        <w:rPr/>
      </w:pPr>
      <w:r>
        <w:rPr/>
      </w:r>
    </w:p>
    <w:p>
      <w:pPr>
        <w:pStyle w:val="BodyTextIndent2"/>
        <w:numPr>
          <w:ilvl w:val="0"/>
          <w:numId w:val="3"/>
        </w:numPr>
        <w:tabs>
          <w:tab w:val="clear" w:pos="720"/>
          <w:tab w:val="left" w:pos="2160" w:leader="none"/>
        </w:tabs>
        <w:ind w:hanging="720" w:start="2160" w:end="0"/>
        <w:rPr/>
      </w:pPr>
      <w:r>
        <w:rPr/>
        <w:t xml:space="preserve">One-year term commitments for large customers with a predetermined penalty for early termination. </w:t>
      </w:r>
    </w:p>
    <w:p>
      <w:pPr>
        <w:pStyle w:val="BodyTextIndent2"/>
        <w:ind w:hanging="0" w:start="0" w:end="0"/>
        <w:rPr/>
      </w:pPr>
      <w:r>
        <w:rPr/>
      </w:r>
    </w:p>
    <w:p>
      <w:pPr>
        <w:pStyle w:val="BodyTextIndent2"/>
        <w:rPr/>
      </w:pPr>
      <w:r>
        <w:rPr/>
        <w:t>(4)</w:t>
        <w:tab/>
        <w:t xml:space="preserve">Upon termination of the utility commitment in favor of a direct access arrangement, a customer could not return to the utility portfolio, except on a spot-price basis, for a period of </w:t>
      </w:r>
      <w:r>
        <w:rPr>
          <w:b/>
          <w:bCs/>
        </w:rPr>
        <w:t>[X months/years]</w:t>
      </w:r>
      <w:r>
        <w:rPr/>
        <w:t>.</w:t>
      </w:r>
    </w:p>
    <w:p>
      <w:pPr>
        <w:pStyle w:val="Normal"/>
        <w:ind w:hanging="720" w:start="2160" w:end="0"/>
        <w:rPr>
          <w:b/>
          <w:bCs/>
        </w:rPr>
      </w:pPr>
      <w:r>
        <w:rPr>
          <w:b/>
          <w:bCs/>
        </w:rPr>
      </w:r>
    </w:p>
    <w:p>
      <w:pPr>
        <w:pStyle w:val="Heading1"/>
        <w:keepNext w:val="false"/>
        <w:numPr>
          <w:ilvl w:val="2"/>
          <w:numId w:val="3"/>
        </w:numPr>
        <w:tabs>
          <w:tab w:val="left" w:pos="720" w:leader="none"/>
        </w:tabs>
        <w:ind w:hanging="720" w:start="720" w:end="0"/>
        <w:rPr/>
      </w:pPr>
      <w:r>
        <w:rPr/>
        <w:t>Rate Stabilization</w:t>
      </w:r>
    </w:p>
    <w:p>
      <w:pPr>
        <w:pStyle w:val="Normal"/>
        <w:rPr/>
      </w:pPr>
      <w:r>
        <w:rPr/>
      </w:r>
    </w:p>
    <w:p>
      <w:pPr>
        <w:pStyle w:val="Normal"/>
        <w:ind w:start="720" w:end="0"/>
        <w:rPr>
          <w:b/>
          <w:bCs/>
        </w:rPr>
      </w:pPr>
      <w:r>
        <w:rPr>
          <w:b/>
          <w:bCs/>
        </w:rPr>
        <w:t>[Again, proposals anticipated, but below are some group or sidebar discussion points from Tuesday’s meeting.]</w:t>
      </w:r>
    </w:p>
    <w:p>
      <w:pPr>
        <w:pStyle w:val="Normal"/>
        <w:rPr>
          <w:b/>
          <w:bCs/>
        </w:rPr>
      </w:pPr>
      <w:r>
        <w:rPr>
          <w:b/>
          <w:bCs/>
        </w:rPr>
      </w:r>
    </w:p>
    <w:p>
      <w:pPr>
        <w:pStyle w:val="Normal"/>
        <w:ind w:hanging="720" w:start="1440" w:end="0"/>
        <w:rPr/>
      </w:pPr>
      <w:r>
        <w:rPr/>
        <w:t>a/</w:t>
        <w:tab/>
        <w:t xml:space="preserve">The rate freeze shall be deemed to have ended on </w:t>
      </w:r>
      <w:r>
        <w:rPr>
          <w:b/>
          <w:bCs/>
        </w:rPr>
        <w:t>[August 31, 2000; October 2, 2000; January 31, 2000; March 31, 2002 or other date or conditions].</w:t>
      </w:r>
      <w:r>
        <w:rPr/>
        <w:tab/>
      </w:r>
    </w:p>
    <w:p>
      <w:pPr>
        <w:pStyle w:val="Normal"/>
        <w:rPr>
          <w:b/>
          <w:bCs/>
        </w:rPr>
      </w:pPr>
      <w:r>
        <w:rPr>
          <w:b/>
          <w:bCs/>
        </w:rPr>
      </w:r>
    </w:p>
    <w:p>
      <w:pPr>
        <w:pStyle w:val="BodyTextIndent"/>
        <w:rPr/>
      </w:pPr>
      <w:r>
        <w:rPr/>
        <w:t>b/</w:t>
        <w:tab/>
        <w:t>Following the end of the rate freeze, the utilities shall provide a stabilized rate option to all customers.</w:t>
      </w:r>
    </w:p>
    <w:p>
      <w:pPr>
        <w:pStyle w:val="Normal"/>
        <w:ind w:start="720" w:end="0"/>
        <w:rPr/>
      </w:pPr>
      <w:r>
        <w:rPr/>
      </w:r>
    </w:p>
    <w:p>
      <w:pPr>
        <w:pStyle w:val="Normal"/>
        <w:numPr>
          <w:ilvl w:val="1"/>
          <w:numId w:val="2"/>
        </w:numPr>
        <w:tabs>
          <w:tab w:val="clear" w:pos="720"/>
          <w:tab w:val="left" w:pos="2160" w:leader="none"/>
        </w:tabs>
        <w:ind w:hanging="720" w:start="2160" w:end="0"/>
        <w:rPr/>
      </w:pPr>
      <w:r>
        <w:rPr/>
        <w:t xml:space="preserve">The stabilized rate program shall remain in place for </w:t>
      </w:r>
      <w:r>
        <w:rPr>
          <w:b/>
          <w:bCs/>
        </w:rPr>
        <w:t>[five years or specified conditions]</w:t>
      </w:r>
      <w:r>
        <w:rPr/>
        <w:t>.</w:t>
      </w:r>
    </w:p>
    <w:p>
      <w:pPr>
        <w:pStyle w:val="Normal"/>
        <w:tabs>
          <w:tab w:val="clear" w:pos="720"/>
          <w:tab w:val="left" w:pos="2160" w:leader="none"/>
        </w:tabs>
        <w:ind w:start="2160" w:end="0"/>
        <w:rPr/>
      </w:pPr>
      <w:r>
        <w:rPr/>
      </w:r>
    </w:p>
    <w:p>
      <w:pPr>
        <w:pStyle w:val="Normal"/>
        <w:numPr>
          <w:ilvl w:val="1"/>
          <w:numId w:val="2"/>
        </w:numPr>
        <w:tabs>
          <w:tab w:val="clear" w:pos="720"/>
          <w:tab w:val="left" w:pos="2160" w:leader="none"/>
        </w:tabs>
        <w:ind w:hanging="720" w:start="2160" w:end="0"/>
        <w:rPr/>
      </w:pPr>
      <w:r>
        <w:rPr/>
        <w:t>The applicable rate level and structure shall be:</w:t>
      </w:r>
    </w:p>
    <w:p>
      <w:pPr>
        <w:pStyle w:val="Normal"/>
        <w:ind w:start="720" w:end="0"/>
        <w:rPr/>
      </w:pPr>
      <w:r>
        <w:rPr/>
      </w:r>
    </w:p>
    <w:p>
      <w:pPr>
        <w:pStyle w:val="Normal"/>
        <w:ind w:hanging="720" w:start="2880" w:end="0"/>
        <w:rPr/>
      </w:pPr>
      <w:r>
        <w:rPr/>
        <w:t>(a)</w:t>
        <w:tab/>
        <w:t>Rates should continue at the June 10, 1996 frozen rates levels</w:t>
      </w:r>
      <w:r>
        <w:rPr>
          <w:b/>
          <w:bCs/>
        </w:rPr>
        <w:t xml:space="preserve"> [TURN Proposal]</w:t>
      </w:r>
      <w:r>
        <w:rPr/>
        <w:t>.</w:t>
        <w:tab/>
      </w:r>
    </w:p>
    <w:p>
      <w:pPr>
        <w:pStyle w:val="Normal"/>
        <w:ind w:hanging="720" w:start="2880" w:end="0"/>
        <w:rPr/>
      </w:pPr>
      <w:r>
        <w:rPr/>
      </w:r>
    </w:p>
    <w:p>
      <w:pPr>
        <w:pStyle w:val="Normal"/>
        <w:ind w:hanging="720" w:start="2880" w:end="0"/>
        <w:rPr/>
      </w:pPr>
      <w:r>
        <w:rPr/>
        <w:t>(b)</w:t>
        <w:tab/>
        <w:t xml:space="preserve">Rates shall increase by 9.9% from June 10, 1996, with periodic adjustments to reflect under or over collections, and the utilities’ recovery of procurement costs shall continue to be determined on a residual basis </w:t>
      </w:r>
      <w:r>
        <w:rPr>
          <w:b/>
          <w:bCs/>
        </w:rPr>
        <w:t>[SCE Proposal]</w:t>
      </w:r>
      <w:r>
        <w:rPr/>
        <w:t>.</w:t>
      </w:r>
    </w:p>
    <w:p>
      <w:pPr>
        <w:pStyle w:val="Normal"/>
        <w:ind w:hanging="720" w:start="2880" w:end="0"/>
        <w:rPr/>
      </w:pPr>
      <w:r>
        <w:rPr/>
      </w:r>
    </w:p>
    <w:p>
      <w:pPr>
        <w:pStyle w:val="Normal"/>
        <w:keepLines/>
        <w:ind w:hanging="720" w:start="2880" w:end="0"/>
        <w:rPr/>
      </w:pPr>
      <w:r>
        <w:rPr/>
        <w:t>(c)</w:t>
        <w:tab/>
        <w:t xml:space="preserve">The commodity portion of all rates shall be set at 6.5 cents/kWh (or some lower level), adjusted for load factor, subject to periodic adjustment.  </w:t>
      </w:r>
      <w:r>
        <w:rPr>
          <w:b/>
          <w:bCs/>
        </w:rPr>
        <w:t>[PG&amp;E Proposal]</w:t>
      </w:r>
    </w:p>
    <w:p>
      <w:pPr>
        <w:pStyle w:val="Normal"/>
        <w:keepLines/>
        <w:ind w:hanging="720" w:start="2880" w:end="0"/>
        <w:rPr/>
      </w:pPr>
      <w:r>
        <w:rPr/>
      </w:r>
    </w:p>
    <w:p>
      <w:pPr>
        <w:pStyle w:val="Normal"/>
        <w:keepLines/>
        <w:ind w:hanging="720" w:start="2880" w:end="0"/>
        <w:rPr/>
      </w:pPr>
      <w:r>
        <w:rPr/>
        <w:t>(d)</w:t>
        <w:tab/>
      </w:r>
      <w:r>
        <w:rPr>
          <w:b/>
          <w:bCs/>
        </w:rPr>
        <w:t>[PX Proposal]</w:t>
      </w:r>
    </w:p>
    <w:p>
      <w:pPr>
        <w:pStyle w:val="Normal"/>
        <w:keepLines/>
        <w:ind w:hanging="720" w:start="2880" w:end="0"/>
        <w:rPr>
          <w:b/>
          <w:bCs/>
        </w:rPr>
      </w:pPr>
      <w:r>
        <w:rPr>
          <w:b/>
          <w:bCs/>
        </w:rPr>
      </w:r>
    </w:p>
    <w:p>
      <w:pPr>
        <w:pStyle w:val="Normal"/>
        <w:keepLines/>
        <w:numPr>
          <w:ilvl w:val="0"/>
          <w:numId w:val="4"/>
        </w:numPr>
        <w:tabs>
          <w:tab w:val="clear" w:pos="720"/>
          <w:tab w:val="left" w:pos="2880" w:leader="none"/>
        </w:tabs>
        <w:ind w:hanging="720" w:start="2880" w:end="0"/>
        <w:rPr>
          <w:b/>
          <w:bCs/>
        </w:rPr>
      </w:pPr>
      <w:r>
        <w:rPr>
          <w:b/>
          <w:bCs/>
        </w:rPr>
        <w:t>[CLECA/CMTA Proposal].</w:t>
      </w:r>
    </w:p>
    <w:p>
      <w:pPr>
        <w:pStyle w:val="Normal"/>
        <w:keepLines/>
        <w:rPr>
          <w:b/>
          <w:bCs/>
        </w:rPr>
      </w:pPr>
      <w:r>
        <w:rPr>
          <w:b/>
          <w:bCs/>
        </w:rPr>
      </w:r>
    </w:p>
    <w:p>
      <w:pPr>
        <w:pStyle w:val="BodyTextIndent2"/>
        <w:keepLines/>
        <w:rPr/>
      </w:pPr>
      <w:r>
        <w:rPr/>
        <w:t>(3)</w:t>
        <w:tab/>
        <w:t xml:space="preserve">Under- and over-collections resulting from the divergence of the stabilized rate and actual procurement costs shall accumulate in a balancing account.  Balances shall be allocated through periodic adjustments to customer rates to the extent of their participation in the stabilized rate program.  Under-collections accruing following the end of the rate freeze, but prior to the implementation of the stabilized rate program, shall be included in the balancing account for future adjustments.  </w:t>
      </w:r>
    </w:p>
    <w:p>
      <w:pPr>
        <w:pStyle w:val="Normal"/>
        <w:keepLines/>
        <w:rPr>
          <w:b/>
          <w:bCs/>
        </w:rPr>
      </w:pPr>
      <w:r>
        <w:rPr>
          <w:b/>
          <w:bCs/>
        </w:rPr>
      </w:r>
    </w:p>
    <w:p>
      <w:pPr>
        <w:pStyle w:val="BodyTextIndent"/>
        <w:keepLines/>
        <w:rPr/>
      </w:pPr>
      <w:r>
        <w:rPr/>
        <w:t>b/</w:t>
        <w:tab/>
        <w:t>The utilities shall continue to make available a spot price product for customers who to choose to receive clear price signals and mitigate the accumulation of under-collections.</w:t>
      </w:r>
    </w:p>
    <w:p>
      <w:pPr>
        <w:pStyle w:val="BodyTextIndent"/>
        <w:keepLines/>
        <w:rPr/>
      </w:pPr>
      <w:r>
        <w:rPr/>
      </w:r>
    </w:p>
    <w:p>
      <w:pPr>
        <w:pStyle w:val="BodyTextIndent"/>
        <w:keepLines/>
        <w:rPr/>
      </w:pPr>
      <w:r>
        <w:rPr/>
        <w:t>c/</w:t>
        <w:tab/>
        <w:t>The UDCs shall, on a monthly basis, publish the actual average procurement price for their portfolio since the inception of the rate stabilization option to provide a point of comparison for utility customers considering competitive options.</w:t>
        <w:tab/>
      </w:r>
      <w:r>
        <w:rPr>
          <w:b/>
          <w:bCs/>
        </w:rPr>
        <w:t>[AES Ideas]</w:t>
      </w:r>
    </w:p>
    <w:p>
      <w:pPr>
        <w:pStyle w:val="Normal"/>
        <w:keepLines/>
        <w:rPr>
          <w:b/>
          <w:bCs/>
        </w:rPr>
      </w:pPr>
      <w:r>
        <w:rPr>
          <w:b/>
          <w:bCs/>
        </w:rPr>
      </w:r>
    </w:p>
    <w:p>
      <w:pPr>
        <w:pStyle w:val="Normal"/>
        <w:keepLines/>
        <w:ind w:hanging="720" w:start="1440" w:end="0"/>
        <w:rPr>
          <w:i/>
          <w:i/>
          <w:iCs/>
        </w:rPr>
      </w:pPr>
      <w:r>
        <w:rPr/>
        <w:t>d/</w:t>
        <w:tab/>
        <w:t>The Commission shall direct the UDCs to implement not later than April 1, 2002, additional products to provide customers a greater opportunity to hedge their total purchase costs.</w:t>
      </w:r>
    </w:p>
    <w:p>
      <w:pPr>
        <w:pStyle w:val="Normal"/>
        <w:keepLines/>
        <w:rPr>
          <w:i/>
          <w:i/>
          <w:iCs/>
        </w:rPr>
      </w:pPr>
      <w:r>
        <w:rPr>
          <w:i/>
          <w:iCs/>
        </w:rPr>
      </w:r>
    </w:p>
    <w:p>
      <w:pPr>
        <w:pStyle w:val="Heading1"/>
        <w:keepNext w:val="false"/>
        <w:keepLines/>
        <w:ind w:hanging="0" w:start="0"/>
        <w:rPr/>
      </w:pPr>
      <w:r>
        <w:rPr/>
        <w:t>4</w:t>
        <w:tab/>
        <w:t>TRA Under-Collections</w:t>
      </w:r>
    </w:p>
    <w:p>
      <w:pPr>
        <w:pStyle w:val="Normal"/>
        <w:keepLines/>
        <w:rPr/>
      </w:pPr>
      <w:r>
        <w:rPr/>
      </w:r>
    </w:p>
    <w:p>
      <w:pPr>
        <w:pStyle w:val="BodyTextIndent2"/>
        <w:keepLines/>
        <w:ind w:start="1440" w:end="0"/>
        <w:rPr/>
      </w:pPr>
      <w:r>
        <w:rPr/>
        <w:t>a/</w:t>
        <w:tab/>
        <w:t>TRA under-collections preceding the end of the rate freeze shall be strictly separated from any under-collections accruing following the end of the rate freeze (the treatment of which is addressed in 3, above).</w:t>
      </w:r>
    </w:p>
    <w:p>
      <w:pPr>
        <w:pStyle w:val="Normal"/>
        <w:keepLines/>
        <w:ind w:hanging="720" w:start="2160" w:end="0"/>
        <w:rPr/>
      </w:pPr>
      <w:r>
        <w:rPr/>
      </w:r>
    </w:p>
    <w:p>
      <w:pPr>
        <w:pStyle w:val="Normal"/>
        <w:keepLines/>
        <w:ind w:hanging="720" w:start="1440" w:end="0"/>
        <w:rPr/>
      </w:pPr>
      <w:r>
        <w:rPr/>
        <w:t>b/</w:t>
        <w:tab/>
        <w:t xml:space="preserve">TRA under-collections shall be borne by the utility prior to the end of the rate freeze. </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t>California Energy Solutions Group</w:t>
    </w:r>
  </w:p>
  <w:p>
    <w:pPr>
      <w:pStyle w:val="Footer"/>
      <w:jc w:val="end"/>
      <w:rPr/>
    </w:pPr>
    <w:r>
      <w:rPr>
        <w:rStyle w:val="PageNumber"/>
      </w:rPr>
      <w:t xml:space="preserve">Straw Proposal </w:t>
    </w:r>
    <w:r>
      <w:rPr>
        <w:rStyle w:val="PageNumber"/>
        <w:shadow/>
      </w:rPr>
      <w:t>Draft</w:t>
    </w:r>
    <w:r>
      <w:rPr>
        <w:rStyle w:val="PageNumber"/>
      </w:rPr>
      <w:t>120800</w:t>
    </w:r>
  </w:p>
  <w:p>
    <w:pPr>
      <w:pStyle w:val="Footer"/>
      <w:jc w:val="end"/>
      <w:rPr/>
    </w:pPr>
    <w:r>
      <w:rPr>
        <w:rStyle w:val="PageNumber"/>
      </w:rPr>
      <w:t>For Discussion Purposes Only</w:t>
    </w:r>
  </w:p>
  <w:p>
    <w:pPr>
      <w:pStyle w:val="Footer"/>
      <w:jc w:val="end"/>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080"/>
        </w:tabs>
        <w:ind w:start="1080" w:hanging="720"/>
      </w:pPr>
      <w:rPr/>
    </w:lvl>
    <w:lvl w:ilvl="1">
      <w:start w:val="1"/>
      <w:numFmt w:val="decimal"/>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2"/>
      <w:numFmt w:val="decimal"/>
      <w:lvlText w:val="(%1)"/>
      <w:lvlJc w:val="start"/>
      <w:pPr>
        <w:tabs>
          <w:tab w:val="num" w:pos="1800"/>
        </w:tabs>
        <w:ind w:start="1800" w:hanging="360"/>
      </w:pPr>
      <w:rPr/>
    </w:lvl>
    <w:lvl w:ilvl="1">
      <w:start w:val="1"/>
      <w:numFmt w:val="lowerLetter"/>
      <w:lvlText w:val="%2."/>
      <w:lvlJc w:val="start"/>
      <w:pPr>
        <w:tabs>
          <w:tab w:val="num" w:pos="2520"/>
        </w:tabs>
        <w:ind w:start="2520" w:hanging="360"/>
      </w:pPr>
    </w:lvl>
    <w:lvl w:ilvl="2">
      <w:start w:val="3"/>
      <w:numFmt w:val="decimal"/>
      <w:lvlText w:val="%3"/>
      <w:lvlJc w:val="start"/>
      <w:pPr>
        <w:tabs>
          <w:tab w:val="num" w:pos="3420"/>
        </w:tabs>
        <w:ind w:start="3420" w:hanging="360"/>
      </w:pPr>
      <w:r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4">
    <w:lvl w:ilvl="0">
      <w:start w:val="5"/>
      <w:numFmt w:val="lowerLetter"/>
      <w:lvlText w:val="(%1)"/>
      <w:lvlJc w:val="start"/>
      <w:pPr>
        <w:tabs>
          <w:tab w:val="num" w:pos="3240"/>
        </w:tabs>
        <w:ind w:start="3240" w:hanging="360"/>
      </w:pPr>
      <w:rPr>
        <w:b w:val="false"/>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val="false"/>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b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mallCap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sz w:val="28"/>
    </w:rPr>
  </w:style>
  <w:style w:type="paragraph" w:styleId="BodyTextIndent">
    <w:name w:val="Body Text Indent"/>
    <w:basedOn w:val="Normal"/>
    <w:pPr>
      <w:ind w:hanging="720" w:start="1440" w:end="0"/>
    </w:pPr>
    <w:rPr/>
  </w:style>
  <w:style w:type="paragraph" w:styleId="BodyTextIndent2">
    <w:name w:val="Body Text Indent 2"/>
    <w:basedOn w:val="Normal"/>
    <w:qFormat/>
    <w:pPr>
      <w:ind w:hanging="720" w:start="2160" w:end="0"/>
    </w:pPr>
    <w:rPr/>
  </w:style>
  <w:style w:type="paragraph" w:styleId="BodyTextIndent3">
    <w:name w:val="Body Text Indent 3"/>
    <w:basedOn w:val="Normal"/>
    <w:qFormat/>
    <w:pPr>
      <w:ind w:hanging="72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2000-12-08T17:10:00Z</dcterms:created>
  <dc:creator>Evelyn Elsesser</dc:creator>
  <dc:description/>
  <dc:language>en-CA</dc:language>
  <cp:lastModifiedBy>Evelyn Elsesser</cp:lastModifiedBy>
  <cp:lastPrinted>2000-12-04T12:11:00Z</cp:lastPrinted>
  <dcterms:modified xsi:type="dcterms:W3CDTF">2000-12-08T17:10:00Z</dcterms:modified>
  <cp:revision>2</cp:revision>
  <dc:subject/>
  <dc:title>CALIFORNIA ENERGY SOLUTIONS GROUP</dc:title>
</cp:coreProperties>
</file>