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CERA Analysis</w:t>
      </w:r>
    </w:p>
    <w:p>
      <w:pPr>
        <w:pStyle w:val="Normal"/>
        <w:jc w:val="center"/>
        <w:rPr>
          <w:b/>
          <w:bCs/>
          <w:sz w:val="28"/>
        </w:rPr>
      </w:pPr>
      <w:r>
        <w:rPr>
          <w:b/>
          <w:bCs/>
        </w:rPr>
        <w:t>Beyond the California Power Crisis</w:t>
      </w:r>
    </w:p>
    <w:p>
      <w:pPr>
        <w:pStyle w:val="Normal"/>
        <w:jc w:val="center"/>
        <w:rPr>
          <w:b/>
          <w:bCs/>
          <w:sz w:val="28"/>
        </w:rPr>
      </w:pPr>
      <w:r>
        <w:rPr>
          <w:b/>
          <w:bCs/>
          <w:sz w:val="28"/>
        </w:rPr>
      </w:r>
    </w:p>
    <w:p>
      <w:pPr>
        <w:pStyle w:val="Normal"/>
        <w:jc w:val="center"/>
        <w:rPr>
          <w:b/>
          <w:bCs/>
          <w:sz w:val="28"/>
        </w:rPr>
      </w:pPr>
      <w:r>
        <w:rPr>
          <w:b/>
          <w:bCs/>
          <w:sz w:val="28"/>
        </w:rPr>
      </w:r>
    </w:p>
    <w:p>
      <w:pPr>
        <w:pStyle w:val="Normal"/>
        <w:numPr>
          <w:ilvl w:val="0"/>
          <w:numId w:val="1"/>
        </w:numPr>
        <w:rPr>
          <w:sz w:val="22"/>
        </w:rPr>
      </w:pPr>
      <w:r>
        <w:rPr>
          <w:sz w:val="22"/>
        </w:rPr>
        <w:t>The crisis in California is the result of three critical failures; (1) Failure to provide fundamental signals for new power plant investments; (2) Lack of a streamlined approval process to site and build new power plants; and (3) Misalignment of wholesale and retail markets resulting in utilities bearing all the wholesale risks with little or no ability to control those risks.  “California’s market was a failed design of partial deregulation, not a failure of deregulation”.</w:t>
        <w:br/>
      </w:r>
    </w:p>
    <w:p>
      <w:pPr>
        <w:pStyle w:val="Normal"/>
        <w:numPr>
          <w:ilvl w:val="0"/>
          <w:numId w:val="1"/>
        </w:numPr>
        <w:rPr>
          <w:sz w:val="22"/>
        </w:rPr>
      </w:pPr>
      <w:r>
        <w:rPr>
          <w:sz w:val="22"/>
        </w:rPr>
        <w:t>California legislation, AB 1, does not address the under-collected costs that utilities have already incurred and does not resolve the credit crisis.  The bill provides a funding mechanism for a state agency to procure power that will likely result in either a massive build-up of new debt, or signing of long-term contracts at high prices or both.</w:t>
        <w:br/>
      </w:r>
    </w:p>
    <w:p>
      <w:pPr>
        <w:pStyle w:val="Normal"/>
        <w:numPr>
          <w:ilvl w:val="0"/>
          <w:numId w:val="1"/>
        </w:numPr>
        <w:rPr>
          <w:sz w:val="22"/>
        </w:rPr>
      </w:pPr>
      <w:r>
        <w:rPr>
          <w:sz w:val="22"/>
        </w:rPr>
        <w:t xml:space="preserve">Long-term supply contracts will not fully solve the problem in California.  A portfolio of contracts, varying from short-term contracts to 3-4 year contracts will achieve the goal of managing prices.  New power plants will enter into service in the next few years, resolving the supply shortage and lowering wholesale electricity prices.  California should not trade off short-term price relief for consumers with higher prices over many years.  </w:t>
        <w:br/>
      </w:r>
    </w:p>
    <w:p>
      <w:pPr>
        <w:pStyle w:val="Normal"/>
        <w:numPr>
          <w:ilvl w:val="0"/>
          <w:numId w:val="1"/>
        </w:numPr>
        <w:rPr>
          <w:sz w:val="22"/>
        </w:rPr>
      </w:pPr>
      <w:r>
        <w:rPr>
          <w:sz w:val="22"/>
        </w:rPr>
        <w:t xml:space="preserve"> </w:t>
      </w:r>
      <w:r>
        <w:rPr>
          <w:sz w:val="22"/>
        </w:rPr>
        <w:t>Projections of demand requirements in California indicate 5,000 MW of new capacity is necessary to restore balance to its energy markets in 2001.  Based upon the current plant siting and permitting pace, capacity additions in 2001 will be insufficient to return the market to balance, and the market is not expected to achieve balance until 2003.</w:t>
        <w:br/>
      </w:r>
    </w:p>
    <w:p>
      <w:pPr>
        <w:pStyle w:val="Normal"/>
        <w:numPr>
          <w:ilvl w:val="0"/>
          <w:numId w:val="1"/>
        </w:numPr>
        <w:rPr>
          <w:sz w:val="22"/>
        </w:rPr>
      </w:pPr>
      <w:r>
        <w:rPr>
          <w:sz w:val="22"/>
        </w:rPr>
        <w:t>Low hydroelectric production, limits on plant operations due to air emissions restrictions, and limitations on curtailable customer loads are expected to further tighten markets in 2001.  Demand is projected to exceed supply for hundreds of hours this summer in California necessitating emergency operations procedures to relieve demand.  CERA estimates that rolling blackouts could occur for 20 hours.</w:t>
        <w:br/>
      </w:r>
    </w:p>
    <w:p>
      <w:pPr>
        <w:pStyle w:val="Normal"/>
        <w:numPr>
          <w:ilvl w:val="0"/>
          <w:numId w:val="1"/>
        </w:numPr>
        <w:rPr>
          <w:sz w:val="22"/>
        </w:rPr>
      </w:pPr>
      <w:r>
        <w:rPr>
          <w:sz w:val="22"/>
        </w:rPr>
        <w:t>While certain long-term measures are needed to address the California power crisis, the near-term outlook for this summer requires immediate and aggressive action.</w:t>
        <w:br/>
      </w:r>
    </w:p>
    <w:p>
      <w:pPr>
        <w:pStyle w:val="Normal"/>
        <w:numPr>
          <w:ilvl w:val="0"/>
          <w:numId w:val="1"/>
        </w:numPr>
        <w:rPr>
          <w:sz w:val="22"/>
        </w:rPr>
      </w:pPr>
      <w:r>
        <w:rPr>
          <w:sz w:val="22"/>
        </w:rPr>
        <w:t>Conservation should be encouraged through elimination or phase-out of existing price freezes and caps.  CERA estimates that if customers receive a 20 percent increase in power prices at least two months before summer, demand could be reduced by 1,000 to 2,000 MW, cutting the expected supply shortfall during the summer by a third.</w:t>
        <w:br/>
      </w:r>
    </w:p>
    <w:p>
      <w:pPr>
        <w:pStyle w:val="Normal"/>
        <w:numPr>
          <w:ilvl w:val="0"/>
          <w:numId w:val="1"/>
        </w:numPr>
        <w:rPr>
          <w:sz w:val="22"/>
        </w:rPr>
      </w:pPr>
      <w:r>
        <w:rPr>
          <w:sz w:val="22"/>
        </w:rPr>
        <w:t>Additional flexibility to emissions programs should be provided.  A combination of limited emissions credits and restriction on liquid-fueled facilities has kept more than 3,000 MW of generation from service at times and could keep approximately 10,000 MW of gas- and liquid-fueled plants from operating this summer.</w:t>
        <w:br/>
      </w:r>
    </w:p>
    <w:p>
      <w:pPr>
        <w:pStyle w:val="Normal"/>
        <w:numPr>
          <w:ilvl w:val="0"/>
          <w:numId w:val="1"/>
        </w:numPr>
        <w:rPr>
          <w:sz w:val="22"/>
        </w:rPr>
      </w:pPr>
      <w:r>
        <w:rPr>
          <w:sz w:val="22"/>
        </w:rPr>
        <w:t>Generators should establish an emergency outage coordination mechanism.  The winter of 2000/2001 demonstrated the risk to the to the current supply-constrained system of a lack of outage coordination.  A capacity reserve requirement will help solve this problem.</w:t>
        <w:br/>
      </w:r>
    </w:p>
    <w:p>
      <w:pPr>
        <w:pStyle w:val="Normal"/>
        <w:numPr>
          <w:ilvl w:val="0"/>
          <w:numId w:val="1"/>
        </w:numPr>
        <w:rPr>
          <w:sz w:val="22"/>
        </w:rPr>
      </w:pPr>
      <w:r>
        <w:rPr>
          <w:sz w:val="22"/>
        </w:rPr>
        <w:t>Increase the flexibility of hydroelectric facility operations.  Existing restrictions have removed operating flexibility and decreased hydroelectric power generation.  It is estimated that 1,000 MW could be provided if these restrictions were temporarily reduced.</w:t>
      </w:r>
    </w:p>
    <w:p>
      <w:pPr>
        <w:pStyle w:val="Normal"/>
        <w:rPr>
          <w:sz w:val="22"/>
        </w:rPr>
      </w:pPr>
      <w:r>
        <w:rPr>
          <w:sz w:val="22"/>
        </w:rPr>
      </w:r>
    </w:p>
    <w:p>
      <w:pPr>
        <w:pStyle w:val="Normal"/>
        <w:rPr/>
      </w:pPr>
      <w:r>
        <w:rPr/>
      </w:r>
    </w:p>
    <w:p>
      <w:pPr>
        <w:pStyle w:val="Normal"/>
        <w:rPr>
          <w:b/>
          <w:bCs/>
        </w:rPr>
      </w:pPr>
      <w:r>
        <w:rPr>
          <w:b/>
          <w:bCs/>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2001-02-13T17:07:00Z</dcterms:created>
  <dc:creator>rneusta</dc:creator>
  <dc:description/>
  <dc:language>en-CA</dc:language>
  <cp:lastModifiedBy>rneusta</cp:lastModifiedBy>
  <cp:lastPrinted>2001-02-13T16:44:00Z</cp:lastPrinted>
  <dcterms:modified xsi:type="dcterms:W3CDTF">2001-02-13T20:15:00Z</dcterms:modified>
  <cp:revision>7</cp:revision>
  <dc:subject/>
  <dc:title>CERA Analysis</dc:title>
</cp:coreProperties>
</file>