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As _________of Enron Corp. and a major energy provider in California, I am keenly interested in seeing California’s electric energy market stabilized.  </w:t>
      </w:r>
    </w:p>
    <w:p>
      <w:pPr>
        <w:pStyle w:val="Normal"/>
        <w:rPr/>
      </w:pPr>
      <w:r>
        <w:rPr/>
      </w:r>
    </w:p>
    <w:p>
      <w:pPr>
        <w:pStyle w:val="Normal"/>
        <w:rPr/>
      </w:pPr>
      <w:r>
        <w:rPr/>
        <w:t xml:space="preserve">It goes almost without saying that California’s economy cannot remain vital, let alone grow appreciably, in the face of more uncertainty of supply, and the possibility of electric brownouts or rolling blackouts.  Even if many in the industrial sector learn to manage and live with the chaos, basic consumer confidence will erode, and the economy will falter.  </w:t>
      </w:r>
    </w:p>
    <w:p>
      <w:pPr>
        <w:pStyle w:val="Normal"/>
        <w:rPr/>
      </w:pPr>
      <w:r>
        <w:rPr/>
      </w:r>
    </w:p>
    <w:p>
      <w:pPr>
        <w:pStyle w:val="Normal"/>
        <w:rPr/>
      </w:pPr>
      <w:r>
        <w:rPr/>
        <w:t>The implications long-term are as ominous as they are obvious.</w:t>
      </w:r>
    </w:p>
    <w:p>
      <w:pPr>
        <w:pStyle w:val="Normal"/>
        <w:rPr/>
      </w:pPr>
      <w:r>
        <w:rPr/>
      </w:r>
    </w:p>
    <w:p>
      <w:pPr>
        <w:pStyle w:val="Normal"/>
        <w:rPr/>
      </w:pPr>
      <w:r>
        <w:rPr/>
        <w:t xml:space="preserve">What is the solution?  Well, the fevered pursuit of a solution is why I’m taking the somewhat unusual step of e-mailing you and several of your peers among business and industrial leaders in California.  </w:t>
      </w:r>
    </w:p>
    <w:p>
      <w:pPr>
        <w:pStyle w:val="Normal"/>
        <w:rPr/>
      </w:pPr>
      <w:r>
        <w:rPr/>
      </w:r>
    </w:p>
    <w:p>
      <w:pPr>
        <w:pStyle w:val="Normal"/>
        <w:rPr/>
      </w:pPr>
      <w:r>
        <w:rPr/>
        <w:t xml:space="preserve">In the coming weeks and months we will be hearing and seeing in the media all manner of proposed ‘solutions’ to California’s energy crisis.  I expect the idea of deregulation will take a pretty severe beating from elected officials, agency heads, regulators, consumer advocates, energy consumers and ratepayers at the local, state and federal levels.  Fingers will point; blame will be ascribed; and a variety of solutions—not least of all calling for re-regulation—will be proposed.  </w:t>
      </w:r>
    </w:p>
    <w:p>
      <w:pPr>
        <w:pStyle w:val="Normal"/>
        <w:rPr/>
      </w:pPr>
      <w:r>
        <w:rPr/>
      </w:r>
    </w:p>
    <w:p>
      <w:pPr>
        <w:pStyle w:val="Normal"/>
        <w:rPr/>
      </w:pPr>
      <w:r>
        <w:rPr/>
        <w:t xml:space="preserve">As a prelude to telling you how Enron intends to continue working for a meaningful and lasting solution to this challenge, I feel compelled to make a single, fundamental and crucial point:  </w:t>
      </w:r>
    </w:p>
    <w:p>
      <w:pPr>
        <w:pStyle w:val="Normal"/>
        <w:rPr/>
      </w:pPr>
      <w:r>
        <w:rPr/>
      </w:r>
    </w:p>
    <w:p>
      <w:pPr>
        <w:pStyle w:val="Normal"/>
        <w:rPr/>
      </w:pPr>
      <w:r>
        <w:rPr/>
        <w:t xml:space="preserve">True electric-energy deregulation has not been tried and found wanting in California.  Rather, a fledgling system of deregulation has been set up; and, no, it doesn’t work well at all. </w:t>
      </w:r>
    </w:p>
    <w:p>
      <w:pPr>
        <w:pStyle w:val="Normal"/>
        <w:rPr/>
      </w:pPr>
      <w:r>
        <w:rPr/>
      </w:r>
    </w:p>
    <w:p>
      <w:pPr>
        <w:pStyle w:val="Normal"/>
        <w:rPr/>
      </w:pPr>
      <w:r>
        <w:rPr/>
        <w:t>Enron and other energy providers will be working hard in the coming year to educate decision makers from Sacramento to Washington, D.C. that electric-energy deregulation remains a good idea and a worthwhile goal for California—BUT that its success hinges on decisive action along three fronts.</w:t>
      </w:r>
    </w:p>
    <w:p>
      <w:pPr>
        <w:pStyle w:val="Normal"/>
        <w:rPr/>
      </w:pPr>
      <w:r>
        <w:rPr/>
      </w:r>
    </w:p>
    <w:p>
      <w:pPr>
        <w:pStyle w:val="Normal"/>
        <w:numPr>
          <w:ilvl w:val="0"/>
          <w:numId w:val="2"/>
        </w:numPr>
        <w:tabs>
          <w:tab w:val="clear" w:pos="720"/>
          <w:tab w:val="left" w:pos="1080" w:leader="none"/>
        </w:tabs>
        <w:spacing w:before="0" w:after="80"/>
        <w:rPr/>
      </w:pPr>
      <w:r>
        <w:rPr/>
        <w:t>Encourage creation of new generating capacity.  This will require permit fast-tracking and bankable assurances with respect to operating rules.</w:t>
      </w:r>
    </w:p>
    <w:p>
      <w:pPr>
        <w:pStyle w:val="Normal"/>
        <w:numPr>
          <w:ilvl w:val="0"/>
          <w:numId w:val="2"/>
        </w:numPr>
        <w:tabs>
          <w:tab w:val="clear" w:pos="720"/>
          <w:tab w:val="left" w:pos="1080" w:leader="none"/>
        </w:tabs>
        <w:spacing w:before="0" w:after="80"/>
        <w:rPr/>
      </w:pPr>
      <w:r>
        <w:rPr/>
        <w:t>Power providers and customers must have free access to forward markets in order to properly manage risk.</w:t>
      </w:r>
    </w:p>
    <w:p>
      <w:pPr>
        <w:pStyle w:val="Normal"/>
        <w:numPr>
          <w:ilvl w:val="0"/>
          <w:numId w:val="2"/>
        </w:numPr>
        <w:tabs>
          <w:tab w:val="clear" w:pos="720"/>
          <w:tab w:val="left" w:pos="1080" w:leader="none"/>
        </w:tabs>
        <w:spacing w:before="0" w:after="80"/>
        <w:rPr/>
      </w:pPr>
      <w:r>
        <w:rPr/>
        <w:t>There must be free market entry (i.e., competition) at the retail level.</w:t>
      </w:r>
    </w:p>
    <w:p>
      <w:pPr>
        <w:pStyle w:val="Normal"/>
        <w:rPr/>
      </w:pPr>
      <w:r>
        <w:rPr/>
      </w:r>
    </w:p>
    <w:p>
      <w:pPr>
        <w:pStyle w:val="Normal"/>
        <w:rPr/>
      </w:pPr>
      <w:r>
        <w:rPr/>
        <w:t xml:space="preserve">The solution to California’s energy crisis isn’t to be found in greater complexity, but in these simple, classical market principles: adequate supply, risk management, and market competition.  </w:t>
      </w:r>
    </w:p>
    <w:p>
      <w:pPr>
        <w:pStyle w:val="Normal"/>
        <w:rPr/>
      </w:pPr>
      <w:r>
        <w:rPr/>
      </w:r>
    </w:p>
    <w:p>
      <w:pPr>
        <w:pStyle w:val="Normal"/>
        <w:rPr/>
      </w:pPr>
      <w:r>
        <w:rPr/>
        <w:t>I wanted you to know that the Enron team is committed to telling this story often and well to the public and private-sector powers that influence California’s energy future.  Because reliable and affordable electric energy is California’s future.</w:t>
      </w:r>
    </w:p>
    <w:p>
      <w:pPr>
        <w:pStyle w:val="Normal"/>
        <w:rPr/>
      </w:pPr>
      <w:r>
        <w:rPr/>
      </w:r>
    </w:p>
    <w:p>
      <w:pPr>
        <w:pStyle w:val="Normal"/>
        <w:rPr/>
      </w:pPr>
      <w:r>
        <w:rPr/>
        <w:t>I hope you will join us in helping to secure that future.  You can do so by forwarding this email to others whom you think would like to be part of the solution.  If you do, we would appreciate a copy so that we don’t duplicate the effort.</w:t>
      </w:r>
    </w:p>
    <w:p>
      <w:pPr>
        <w:pStyle w:val="Normal"/>
        <w:rPr/>
      </w:pPr>
      <w:r>
        <w:rPr/>
      </w:r>
    </w:p>
    <w:p>
      <w:pPr>
        <w:pStyle w:val="Normal"/>
        <w:rPr/>
      </w:pPr>
      <w:r>
        <w:rPr/>
        <w:t xml:space="preserve">Finally, please don’t hesitate to contact us with any questions you may have.  </w:t>
      </w:r>
    </w:p>
    <w:p>
      <w:pPr>
        <w:pStyle w:val="Normal"/>
        <w:rPr/>
      </w:pPr>
      <w:r>
        <w:rPr/>
      </w:r>
    </w:p>
    <w:p>
      <w:pPr>
        <w:pStyle w:val="Normal"/>
        <w:rPr/>
      </w:pPr>
      <w:r>
        <w:rPr/>
        <w:t xml:space="preserve">Sincerely, </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2016" w:right="2016"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504"/>
        </w:tabs>
        <w:ind w:start="504" w:hanging="504"/>
      </w:pPr>
    </w:lvl>
    <w:lvl w:ilvl="1">
      <w:start w:val="1"/>
      <w:pStyle w:val="Heading2"/>
      <w:numFmt w:val="decimal"/>
      <w:lvlText w:val="%2."/>
      <w:lvlJc w:val="start"/>
      <w:pPr>
        <w:ind w:start="0" w:hanging="0"/>
      </w:pPr>
    </w:lvl>
    <w:lvl w:ilvl="2">
      <w:start w:val="1"/>
      <w:pStyle w:val="Heading3"/>
      <w:numFmt w:val="lowerLetter"/>
      <w:lvlText w:val="%3."/>
      <w:lvlJc w:val="start"/>
      <w:pPr>
        <w:tabs>
          <w:tab w:val="num" w:pos="360"/>
        </w:tabs>
        <w:ind w:start="1800" w:hanging="360"/>
      </w:pPr>
    </w:lvl>
    <w:lvl w:ilvl="3">
      <w:start w:val="1"/>
      <w:pStyle w:val="Heading4"/>
      <w:numFmt w:val="decimal"/>
      <w:lvlText w:val="%4)"/>
      <w:lvlJc w:val="start"/>
      <w:pPr>
        <w:tabs>
          <w:tab w:val="num" w:pos="360"/>
        </w:tabs>
        <w:ind w:start="2520" w:hanging="36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504" w:leader="none"/>
      </w:tabs>
      <w:spacing w:before="240" w:after="60"/>
      <w:outlineLvl w:val="0"/>
    </w:pPr>
    <w:rPr>
      <w:kern w:val="2"/>
      <w:sz w:val="28"/>
    </w:rPr>
  </w:style>
  <w:style w:type="paragraph" w:styleId="Heading2">
    <w:name w:val="heading 2"/>
    <w:basedOn w:val="Normal"/>
    <w:next w:val="Normal"/>
    <w:qFormat/>
    <w:pPr>
      <w:keepNext w:val="true"/>
      <w:numPr>
        <w:ilvl w:val="1"/>
        <w:numId w:val="1"/>
      </w:numPr>
      <w:tabs>
        <w:tab w:val="clear" w:pos="720"/>
        <w:tab w:val="left" w:pos="1080" w:leader="none"/>
      </w:tabs>
      <w:spacing w:before="240" w:after="60"/>
      <w:ind w:firstLine="720" w:start="0" w:end="0"/>
      <w:outlineLvl w:val="1"/>
    </w:pPr>
    <w:rPr/>
  </w:style>
  <w:style w:type="paragraph" w:styleId="Heading3">
    <w:name w:val="heading 3"/>
    <w:basedOn w:val="Normal"/>
    <w:next w:val="Normal"/>
    <w:qFormat/>
    <w:pPr>
      <w:keepNext w:val="true"/>
      <w:numPr>
        <w:ilvl w:val="2"/>
        <w:numId w:val="1"/>
      </w:numPr>
      <w:tabs>
        <w:tab w:val="clear" w:pos="720"/>
        <w:tab w:val="left" w:pos="1800" w:leader="none"/>
      </w:tabs>
      <w:spacing w:before="120" w:after="60"/>
      <w:outlineLvl w:val="2"/>
    </w:pPr>
    <w:rPr/>
  </w:style>
  <w:style w:type="paragraph" w:styleId="Heading4">
    <w:name w:val="heading 4"/>
    <w:basedOn w:val="Normal"/>
    <w:next w:val="Normal"/>
    <w:qFormat/>
    <w:pPr>
      <w:keepNext w:val="true"/>
      <w:numPr>
        <w:ilvl w:val="3"/>
        <w:numId w:val="1"/>
      </w:numPr>
      <w:tabs>
        <w:tab w:val="clear" w:pos="720"/>
        <w:tab w:val="left" w:pos="2520" w:leader="none"/>
      </w:tabs>
      <w:spacing w:before="120" w:after="60"/>
      <w:outlineLvl w:val="3"/>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2000-12-12T12:48:00Z</dcterms:created>
  <dc:creator>John Graham</dc:creator>
  <dc:description/>
  <dc:language>en-CA</dc:language>
  <cp:lastModifiedBy>kdenne</cp:lastModifiedBy>
  <cp:lastPrinted>2000-12-12T09:13:00Z</cp:lastPrinted>
  <dcterms:modified xsi:type="dcterms:W3CDTF">2000-12-13T18:22:00Z</dcterms:modified>
  <cp:revision>6</cp:revision>
  <dc:subject/>
  <dc:title>a</dc:title>
</cp:coreProperties>
</file>