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embeddings/oleObject1.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SCHEDULE 5.01</w:t>
      </w:r>
    </w:p>
    <w:p>
      <w:pPr>
        <w:pStyle w:val="Normal"/>
        <w:jc w:val="center"/>
        <w:rPr>
          <w:b/>
        </w:rPr>
      </w:pPr>
      <w:r>
        <w:rPr>
          <w:b/>
        </w:rPr>
      </w:r>
    </w:p>
    <w:p>
      <w:pPr>
        <w:pStyle w:val="Normal"/>
        <w:jc w:val="center"/>
        <w:rPr>
          <w:b/>
        </w:rPr>
      </w:pPr>
      <w:r>
        <w:rPr>
          <w:b/>
        </w:rPr>
        <w:t>ORGANIZATION; SUBSIDIARIES</w:t>
      </w:r>
    </w:p>
    <w:p>
      <w:pPr>
        <w:pStyle w:val="Normal"/>
        <w:rPr>
          <w:b/>
        </w:rPr>
      </w:pPr>
      <w:r>
        <w:rPr>
          <w:b/>
        </w:rPr>
      </w:r>
    </w:p>
    <w:p>
      <w:pPr>
        <w:pStyle w:val="Normal"/>
        <w:rPr>
          <w:b/>
        </w:rPr>
      </w:pPr>
      <w:r>
        <w:rPr>
          <w:b/>
        </w:rPr>
      </w:r>
    </w:p>
    <w:p>
      <w:pPr>
        <w:pStyle w:val="Normal"/>
        <w:rPr/>
      </w:pPr>
      <w:r>
        <w:rPr>
          <w:b/>
        </w:rPr>
        <w:tab/>
      </w: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all outstanding Equity Securities of such legal entity) of the direct or indirect equity investment of the Parent (and, if different, the economic interest) in each such entity.</w:t>
      </w:r>
    </w:p>
    <w:p>
      <w:pPr>
        <w:pStyle w:val="Normal"/>
        <w:rPr/>
      </w:pPr>
      <w:r>
        <w:rPr/>
      </w:r>
    </w:p>
    <w:p>
      <w:pPr>
        <w:pStyle w:val="Normal"/>
        <w:rPr/>
      </w:pPr>
      <w:r>
        <w:rPr>
          <w:u w:val="single"/>
        </w:rPr>
        <w:t>Subject Company</w:t>
      </w:r>
      <w:r>
        <w:rPr/>
        <w:t>:  Enron Global Power &amp; Pipelines L.L.C., a Delaware limited liability company (100%).</w:t>
      </w:r>
    </w:p>
    <w:p>
      <w:pPr>
        <w:pStyle w:val="Normal"/>
        <w:rPr/>
      </w:pPr>
      <w:r>
        <w:rPr/>
      </w:r>
    </w:p>
    <w:p>
      <w:pPr>
        <w:pStyle w:val="Normal"/>
        <w:tabs>
          <w:tab w:val="clear" w:pos="720"/>
          <w:tab w:val="left" w:pos="0" w:leader="none"/>
        </w:tabs>
        <w:rPr/>
      </w:pPr>
      <w:r>
        <w:rPr/>
        <w:tab/>
      </w:r>
      <w:r>
        <w:rPr>
          <w:u w:val="single"/>
        </w:rPr>
        <w:t>Subsidiaries</w:t>
      </w:r>
      <w:r>
        <w:rPr/>
        <w:t xml:space="preserve">:  Enron International Brazil 1997 Ltd., a Cayman Islands </w:t>
      </w:r>
      <w:r>
        <w:rPr>
          <w:b/>
        </w:rPr>
        <w:t>[corporation]</w:t>
      </w:r>
      <w:r>
        <w:rPr/>
        <w:t xml:space="preserve"> </w:t>
        <w:tab/>
        <w:t>(100%).</w:t>
      </w:r>
    </w:p>
    <w:p>
      <w:pPr>
        <w:pStyle w:val="Normal"/>
        <w:rPr/>
      </w:pPr>
      <w:r>
        <w:rPr/>
      </w:r>
    </w:p>
    <w:p>
      <w:pPr>
        <w:pStyle w:val="Normal"/>
        <w:rPr/>
      </w:pPr>
      <w:r>
        <w:rPr/>
        <w:tab/>
        <w:tab/>
        <w:t>Enron International Brazil Gas Holdings Ltd., as Cayman Islands corporation (100%).</w:t>
      </w:r>
    </w:p>
    <w:p>
      <w:pPr>
        <w:pStyle w:val="Normal"/>
        <w:rPr/>
      </w:pPr>
      <w:r>
        <w:rPr/>
      </w:r>
    </w:p>
    <w:p>
      <w:pPr>
        <w:pStyle w:val="Normal"/>
        <w:rPr/>
      </w:pPr>
      <w:r>
        <w:rPr/>
        <w:tab/>
        <w:tab/>
        <w:tab/>
        <w:t xml:space="preserve">GEC Participacoes Ltd., a Brazilian </w:t>
      </w:r>
      <w:r>
        <w:rPr>
          <w:b/>
        </w:rPr>
        <w:t>[limitada]</w:t>
      </w:r>
      <w:r>
        <w:rPr/>
        <w:t xml:space="preserve"> (100%).</w:t>
      </w:r>
    </w:p>
    <w:p>
      <w:pPr>
        <w:pStyle w:val="Normal"/>
        <w:rPr/>
      </w:pPr>
      <w:r>
        <w:rPr/>
      </w:r>
    </w:p>
    <w:p>
      <w:pPr>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pStyle w:val="Normal"/>
        <w:ind w:hanging="2880" w:start="2880" w:end="0"/>
        <w:rPr/>
      </w:pPr>
      <w:r>
        <w:rPr/>
        <w:tab/>
      </w:r>
      <w:r>
        <w:rPr>
          <w:u w:val="single"/>
        </w:rPr>
        <w:t>Operating Company</w:t>
      </w:r>
      <w:r>
        <w:rPr/>
        <w:t xml:space="preserve">:  Companhia Esadual de Gas do Rio, a Brazilian </w:t>
      </w:r>
      <w:r>
        <w:rPr>
          <w:b/>
        </w:rPr>
        <w:t>[limitada]</w:t>
      </w:r>
      <w:r>
        <w:rPr/>
        <w:t xml:space="preserve"> (25.3833%).</w:t>
      </w:r>
    </w:p>
    <w:p>
      <w:pPr>
        <w:pStyle w:val="Normal"/>
        <w:jc w:val="center"/>
        <w:rPr>
          <w:b/>
        </w:rPr>
      </w:pPr>
      <w:r>
        <w:rPr>
          <w:b/>
        </w:rPr>
        <w:t>SCHEDULE 5.02(c)</w:t>
      </w:r>
    </w:p>
    <w:p>
      <w:pPr>
        <w:pStyle w:val="Normal"/>
        <w:jc w:val="center"/>
        <w:rPr>
          <w:b/>
        </w:rPr>
      </w:pPr>
      <w:r>
        <w:rPr>
          <w:b/>
        </w:rPr>
      </w:r>
    </w:p>
    <w:p>
      <w:pPr>
        <w:pStyle w:val="Normal"/>
        <w:jc w:val="center"/>
        <w:rPr>
          <w:b/>
        </w:rPr>
      </w:pPr>
      <w:r>
        <w:rPr>
          <w:b/>
        </w:rPr>
        <w:t>CONTRACTUAL RESTRICTIONS</w:t>
      </w:r>
    </w:p>
    <w:p>
      <w:pPr>
        <w:pStyle w:val="Normal"/>
        <w:rPr>
          <w:b/>
        </w:rPr>
      </w:pPr>
      <w:r>
        <w:rPr>
          <w:b/>
        </w:rPr>
      </w:r>
    </w:p>
    <w:p>
      <w:pPr>
        <w:pStyle w:val="Normal"/>
        <w:rPr>
          <w:b/>
        </w:rPr>
      </w:pPr>
      <w:r>
        <w:rPr>
          <w:b/>
        </w:rPr>
      </w:r>
    </w:p>
    <w:p>
      <w:pPr>
        <w:pStyle w:val="Normal"/>
        <w:rPr/>
      </w:pPr>
      <w:r>
        <w:rPr/>
        <w:t>None.</w:t>
      </w:r>
    </w:p>
    <w:p>
      <w:pPr>
        <w:pStyle w:val="Normal"/>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776"/>
          <w:pgNumType w:fmt="decimal"/>
          <w:formProt w:val="false"/>
          <w:textDirection w:val="lrTb"/>
          <w:docGrid w:type="default" w:linePitch="360" w:charSpace="0"/>
        </w:sectPr>
        <w:pStyle w:val="Normal"/>
        <w:rPr/>
      </w:pPr>
      <w:r>
        <w:rPr/>
      </w:r>
    </w:p>
    <w:p>
      <w:pPr>
        <w:pStyle w:val="Normal"/>
        <w:numPr>
          <w:ilvl w:val="0"/>
          <w:numId w:val="0"/>
        </w:numPr>
        <w:jc w:val="center"/>
        <w:outlineLvl w:val="0"/>
        <w:rPr>
          <w:b/>
        </w:rPr>
      </w:pPr>
      <w:r>
        <w:rPr>
          <w:b/>
        </w:rPr>
        <w:t>SCHEDULE 5.03(a)</w:t>
      </w:r>
    </w:p>
    <w:p>
      <w:pPr>
        <w:pStyle w:val="Normal"/>
        <w:numPr>
          <w:ilvl w:val="0"/>
          <w:numId w:val="0"/>
        </w:numPr>
        <w:jc w:val="center"/>
        <w:outlineLvl w:val="0"/>
        <w:rPr>
          <w:b/>
        </w:rPr>
      </w:pPr>
      <w:r>
        <w:rPr>
          <w:b/>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owned directly or indirectly by the Parent, in each case as of the date of the Agreement.</w:t>
      </w:r>
    </w:p>
    <w:p>
      <w:pPr>
        <w:pStyle w:val="Normal"/>
        <w:rPr/>
      </w:pPr>
      <w:r>
        <w:rPr/>
      </w:r>
    </w:p>
    <w:p>
      <w:pPr>
        <w:pStyle w:val="Normal"/>
        <w:rPr/>
      </w:pPr>
      <w:r>
        <w:rPr/>
      </w:r>
    </w:p>
    <w:tbl>
      <w:tblPr>
        <w:tblW w:w="12960" w:type="dxa"/>
        <w:jc w:val="start"/>
        <w:tblInd w:w="100" w:type="dxa"/>
        <w:tblLayout w:type="fixed"/>
        <w:tblCellMar>
          <w:top w:w="0" w:type="dxa"/>
          <w:start w:w="100" w:type="dxa"/>
          <w:bottom w:w="0" w:type="dxa"/>
          <w:end w:w="100" w:type="dxa"/>
        </w:tblCellMar>
      </w:tblPr>
      <w:tblGrid>
        <w:gridCol w:w="1851"/>
        <w:gridCol w:w="1851"/>
        <w:gridCol w:w="1852"/>
        <w:gridCol w:w="1851"/>
        <w:gridCol w:w="1852"/>
        <w:gridCol w:w="1851"/>
        <w:gridCol w:w="1852"/>
      </w:tblGrid>
      <w:tr>
        <w:trPr>
          <w:tblHeader w:val="true"/>
          <w:trHeight w:val="403" w:hRule="atLeast"/>
        </w:trPr>
        <w:tc>
          <w:tcPr>
            <w:tcW w:w="1851"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b/>
                <w:sz w:val="22"/>
              </w:rPr>
            </w:pPr>
            <w:r>
              <w:rPr>
                <w:b/>
                <w:sz w:val="22"/>
              </w:rPr>
            </w:r>
          </w:p>
          <w:p>
            <w:pPr>
              <w:pStyle w:val="Normal"/>
              <w:jc w:val="start"/>
              <w:rPr>
                <w:sz w:val="22"/>
              </w:rPr>
            </w:pPr>
            <w:r>
              <w:rPr>
                <w:b/>
                <w:sz w:val="22"/>
              </w:rPr>
              <w:t>Business(es)</w:t>
            </w:r>
          </w:p>
        </w:tc>
        <w:tc>
          <w:tcPr>
            <w:tcW w:w="1851"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Name of Subject Company</w:t>
            </w:r>
          </w:p>
        </w:tc>
        <w:tc>
          <w:tcPr>
            <w:tcW w:w="1852"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Description of Equity Securities</w:t>
            </w:r>
          </w:p>
        </w:tc>
        <w:tc>
          <w:tcPr>
            <w:tcW w:w="1851"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Authorized Equity Securities</w:t>
            </w:r>
          </w:p>
        </w:tc>
        <w:tc>
          <w:tcPr>
            <w:tcW w:w="1852"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Outstanding Equity Securities</w:t>
            </w:r>
          </w:p>
        </w:tc>
        <w:tc>
          <w:tcPr>
            <w:tcW w:w="1851" w:type="dxa"/>
            <w:tcBorders>
              <w:top w:val="single" w:sz="6" w:space="0" w:color="000000"/>
              <w:start w:val="single" w:sz="6" w:space="0" w:color="000000"/>
            </w:tcBorders>
          </w:tcPr>
          <w:p>
            <w:pPr>
              <w:pStyle w:val="Normal"/>
              <w:snapToGrid w:val="false"/>
              <w:jc w:val="start"/>
              <w:rPr>
                <w:b/>
                <w:sz w:val="22"/>
              </w:rPr>
            </w:pPr>
            <w:r>
              <w:rPr>
                <w:b/>
                <w:sz w:val="22"/>
              </w:rPr>
            </w:r>
          </w:p>
          <w:p>
            <w:pPr>
              <w:pStyle w:val="Normal"/>
              <w:jc w:val="start"/>
              <w:rPr>
                <w:b/>
                <w:sz w:val="22"/>
              </w:rPr>
            </w:pPr>
            <w:r>
              <w:rPr>
                <w:b/>
                <w:sz w:val="22"/>
              </w:rPr>
            </w:r>
          </w:p>
          <w:p>
            <w:pPr>
              <w:pStyle w:val="Normal"/>
              <w:jc w:val="start"/>
              <w:rPr>
                <w:sz w:val="22"/>
              </w:rPr>
            </w:pPr>
            <w:r>
              <w:rPr>
                <w:b/>
                <w:sz w:val="22"/>
              </w:rPr>
              <w:t>Equity Securities Owned by  Seller</w:t>
            </w:r>
          </w:p>
        </w:tc>
        <w:tc>
          <w:tcPr>
            <w:tcW w:w="1852" w:type="dxa"/>
            <w:tcBorders>
              <w:top w:val="single" w:sz="6" w:space="0" w:color="000000"/>
              <w:start w:val="single" w:sz="6" w:space="0" w:color="000000"/>
              <w:end w:val="single" w:sz="6" w:space="0" w:color="000000"/>
            </w:tcBorders>
          </w:tcPr>
          <w:p>
            <w:pPr>
              <w:pStyle w:val="Normal"/>
              <w:jc w:val="start"/>
              <w:rPr>
                <w:sz w:val="22"/>
              </w:rPr>
            </w:pPr>
            <w:r>
              <w:rPr>
                <w:b/>
                <w:sz w:val="22"/>
              </w:rPr>
              <w:t>% of Subject Company Owned and Transferred by Seller</w:t>
            </w:r>
          </w:p>
        </w:tc>
      </w:tr>
      <w:tr>
        <w:trPr>
          <w:trHeight w:val="237" w:hRule="atLeast"/>
        </w:trPr>
        <w:tc>
          <w:tcPr>
            <w:tcW w:w="1851" w:type="dxa"/>
            <w:tcBorders>
              <w:top w:val="single" w:sz="6" w:space="0" w:color="000000"/>
              <w:start w:val="single" w:sz="6" w:space="0" w:color="000000"/>
              <w:bottom w:val="single" w:sz="4" w:space="0" w:color="000000"/>
            </w:tcBorders>
          </w:tcPr>
          <w:p>
            <w:pPr>
              <w:pStyle w:val="Normal"/>
              <w:snapToGrid w:val="false"/>
              <w:rPr>
                <w:sz w:val="22"/>
              </w:rPr>
            </w:pPr>
            <w:r>
              <w:rPr>
                <w:sz w:val="22"/>
              </w:rPr>
            </w:r>
          </w:p>
        </w:tc>
        <w:tc>
          <w:tcPr>
            <w:tcW w:w="1851" w:type="dxa"/>
            <w:tcBorders>
              <w:top w:val="single" w:sz="6" w:space="0" w:color="000000"/>
              <w:start w:val="single" w:sz="6" w:space="0" w:color="000000"/>
              <w:bottom w:val="single" w:sz="4" w:space="0" w:color="000000"/>
            </w:tcBorders>
          </w:tcPr>
          <w:p>
            <w:pPr>
              <w:pStyle w:val="Normal"/>
              <w:snapToGrid w:val="false"/>
              <w:jc w:val="start"/>
              <w:rPr/>
            </w:pPr>
            <w:r>
              <w:rPr/>
            </w:r>
          </w:p>
        </w:tc>
        <w:tc>
          <w:tcPr>
            <w:tcW w:w="1852" w:type="dxa"/>
            <w:tcBorders>
              <w:top w:val="single" w:sz="6" w:space="0" w:color="000000"/>
              <w:start w:val="single" w:sz="6" w:space="0" w:color="000000"/>
              <w:bottom w:val="single" w:sz="4" w:space="0" w:color="000000"/>
            </w:tcBorders>
          </w:tcPr>
          <w:p>
            <w:pPr>
              <w:pStyle w:val="Normal"/>
              <w:snapToGrid w:val="false"/>
              <w:rPr/>
            </w:pPr>
            <w:r>
              <w:rPr/>
            </w:r>
          </w:p>
        </w:tc>
        <w:tc>
          <w:tcPr>
            <w:tcW w:w="1851" w:type="dxa"/>
            <w:tcBorders>
              <w:top w:val="single" w:sz="6" w:space="0" w:color="000000"/>
              <w:start w:val="single" w:sz="6" w:space="0" w:color="000000"/>
              <w:bottom w:val="single" w:sz="4" w:space="0" w:color="000000"/>
            </w:tcBorders>
          </w:tcPr>
          <w:p>
            <w:pPr>
              <w:pStyle w:val="Normal"/>
              <w:snapToGrid w:val="false"/>
              <w:rPr/>
            </w:pPr>
            <w:r>
              <w:rPr/>
            </w:r>
          </w:p>
        </w:tc>
        <w:tc>
          <w:tcPr>
            <w:tcW w:w="1852" w:type="dxa"/>
            <w:tcBorders>
              <w:top w:val="single" w:sz="6" w:space="0" w:color="000000"/>
              <w:start w:val="single" w:sz="6" w:space="0" w:color="000000"/>
              <w:bottom w:val="single" w:sz="4" w:space="0" w:color="000000"/>
            </w:tcBorders>
          </w:tcPr>
          <w:p>
            <w:pPr>
              <w:pStyle w:val="Normal"/>
              <w:snapToGrid w:val="false"/>
              <w:rPr/>
            </w:pPr>
            <w:r>
              <w:rPr/>
            </w:r>
          </w:p>
        </w:tc>
        <w:tc>
          <w:tcPr>
            <w:tcW w:w="1851" w:type="dxa"/>
            <w:tcBorders>
              <w:top w:val="single" w:sz="6" w:space="0" w:color="000000"/>
              <w:start w:val="single" w:sz="6" w:space="0" w:color="000000"/>
              <w:bottom w:val="single" w:sz="4" w:space="0" w:color="000000"/>
            </w:tcBorders>
          </w:tcPr>
          <w:p>
            <w:pPr>
              <w:pStyle w:val="Normal"/>
              <w:snapToGrid w:val="false"/>
              <w:rPr/>
            </w:pPr>
            <w:r>
              <w:rPr/>
            </w:r>
          </w:p>
        </w:tc>
        <w:tc>
          <w:tcPr>
            <w:tcW w:w="1852"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r>
        <w:trPr>
          <w:trHeight w:val="403" w:hRule="atLeast"/>
        </w:trPr>
        <w:tc>
          <w:tcPr>
            <w:tcW w:w="1851" w:type="dxa"/>
            <w:tcBorders>
              <w:top w:val="single" w:sz="6" w:space="0" w:color="000000"/>
              <w:start w:val="single" w:sz="6" w:space="0" w:color="000000"/>
              <w:bottom w:val="single" w:sz="4" w:space="0" w:color="000000"/>
            </w:tcBorders>
          </w:tcPr>
          <w:p>
            <w:pPr>
              <w:pStyle w:val="Normal"/>
              <w:rPr/>
            </w:pPr>
            <w:r>
              <w:rPr/>
              <w:t>CEG/RioGas</w:t>
            </w:r>
          </w:p>
        </w:tc>
        <w:tc>
          <w:tcPr>
            <w:tcW w:w="1851" w:type="dxa"/>
            <w:tcBorders>
              <w:top w:val="single" w:sz="6" w:space="0" w:color="000000"/>
              <w:start w:val="single" w:sz="6" w:space="0" w:color="000000"/>
              <w:bottom w:val="single" w:sz="4" w:space="0" w:color="000000"/>
            </w:tcBorders>
          </w:tcPr>
          <w:p>
            <w:pPr>
              <w:pStyle w:val="Normal"/>
              <w:jc w:val="start"/>
              <w:rPr/>
            </w:pPr>
            <w:r>
              <w:rPr/>
              <w:t xml:space="preserve">Enron Global Power &amp; Pipelines LLC </w:t>
            </w:r>
          </w:p>
          <w:p>
            <w:pPr>
              <w:pStyle w:val="Normal"/>
              <w:rPr/>
            </w:pPr>
            <w:r>
              <w:rPr/>
              <w:t>(EGPP)</w:t>
            </w:r>
          </w:p>
        </w:tc>
        <w:tc>
          <w:tcPr>
            <w:tcW w:w="1852" w:type="dxa"/>
            <w:tcBorders>
              <w:top w:val="single" w:sz="6" w:space="0" w:color="000000"/>
              <w:start w:val="single" w:sz="6" w:space="0" w:color="000000"/>
              <w:bottom w:val="single" w:sz="4" w:space="0" w:color="000000"/>
            </w:tcBorders>
          </w:tcPr>
          <w:p>
            <w:pPr>
              <w:pStyle w:val="Normal"/>
              <w:snapToGrid w:val="false"/>
              <w:rPr/>
            </w:pPr>
            <w:r>
              <w:rPr/>
            </w:r>
          </w:p>
        </w:tc>
        <w:tc>
          <w:tcPr>
            <w:tcW w:w="1851" w:type="dxa"/>
            <w:tcBorders>
              <w:top w:val="single" w:sz="6" w:space="0" w:color="000000"/>
              <w:start w:val="single" w:sz="6" w:space="0" w:color="000000"/>
              <w:bottom w:val="single" w:sz="4" w:space="0" w:color="000000"/>
            </w:tcBorders>
          </w:tcPr>
          <w:p>
            <w:pPr>
              <w:pStyle w:val="Normal"/>
              <w:snapToGrid w:val="false"/>
              <w:rPr/>
            </w:pPr>
            <w:r>
              <w:rPr/>
            </w:r>
          </w:p>
        </w:tc>
        <w:tc>
          <w:tcPr>
            <w:tcW w:w="1852" w:type="dxa"/>
            <w:tcBorders>
              <w:top w:val="single" w:sz="6" w:space="0" w:color="000000"/>
              <w:start w:val="single" w:sz="6" w:space="0" w:color="000000"/>
              <w:bottom w:val="single" w:sz="4" w:space="0" w:color="000000"/>
            </w:tcBorders>
          </w:tcPr>
          <w:p>
            <w:pPr>
              <w:pStyle w:val="Normal"/>
              <w:snapToGrid w:val="false"/>
              <w:rPr/>
            </w:pPr>
            <w:r>
              <w:rPr/>
            </w:r>
          </w:p>
        </w:tc>
        <w:tc>
          <w:tcPr>
            <w:tcW w:w="1851" w:type="dxa"/>
            <w:tcBorders>
              <w:top w:val="single" w:sz="6" w:space="0" w:color="000000"/>
              <w:start w:val="single" w:sz="6" w:space="0" w:color="000000"/>
              <w:bottom w:val="single" w:sz="4" w:space="0" w:color="000000"/>
            </w:tcBorders>
          </w:tcPr>
          <w:p>
            <w:pPr>
              <w:pStyle w:val="Normal"/>
              <w:snapToGrid w:val="false"/>
              <w:rPr/>
            </w:pPr>
            <w:r>
              <w:rPr/>
            </w:r>
          </w:p>
        </w:tc>
        <w:tc>
          <w:tcPr>
            <w:tcW w:w="1852"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sectPr>
          <w:headerReference w:type="default" r:id="rId8"/>
          <w:headerReference w:type="first" r:id="rId9"/>
          <w:footerReference w:type="default" r:id="rId10"/>
          <w:footerReference w:type="first" r:id="rId11"/>
          <w:type w:val="nextPage"/>
          <w:pgSz w:orient="landscape" w:w="15840" w:h="12240"/>
          <w:pgMar w:left="1440" w:right="1440" w:gutter="0" w:header="720" w:top="1440" w:footer="720" w:bottom="1440"/>
          <w:pgNumType w:fmt="decimal"/>
          <w:formProt w:val="false"/>
          <w:textDirection w:val="lrTb"/>
          <w:docGrid w:type="default" w:linePitch="360" w:charSpace="0"/>
        </w:sectPr>
      </w:pPr>
    </w:p>
    <w:p>
      <w:pPr>
        <w:pStyle w:val="Normal"/>
        <w:rPr>
          <w:u w:val="single"/>
        </w:rPr>
      </w:pPr>
      <w:r>
        <w:rPr>
          <w:u w:val="single"/>
        </w:rPr>
      </w:r>
    </w:p>
    <w:p>
      <w:pPr>
        <w:pStyle w:val="Normal"/>
        <w:rPr/>
      </w:pPr>
      <w:r>
        <w:rPr/>
      </w:r>
    </w:p>
    <w:p>
      <w:pPr>
        <w:pStyle w:val="Normal"/>
        <w:rPr/>
      </w:pPr>
      <w:r>
        <w:rPr/>
      </w:r>
    </w:p>
    <w:p>
      <w:pPr>
        <w:sectPr>
          <w:type w:val="continuous"/>
          <w:pgSz w:orient="landscape" w:w="15840" w:h="12240"/>
          <w:pgMar w:left="720" w:right="1440" w:gutter="0" w:header="720" w:top="1440" w:footer="720" w:bottom="1440"/>
          <w:formProt w:val="false"/>
          <w:textDirection w:val="lrTb"/>
          <w:docGrid w:type="default" w:linePitch="360" w:charSpace="0"/>
        </w:sectPr>
      </w:pPr>
    </w:p>
    <w:p>
      <w:pPr>
        <w:pStyle w:val="Normal"/>
        <w:jc w:val="center"/>
        <w:rPr>
          <w:b/>
        </w:rPr>
      </w:pPr>
      <w:r>
        <w:rPr>
          <w:b/>
        </w:rPr>
        <w:t>SCHEDULE 5.03(c)</w:t>
      </w:r>
    </w:p>
    <w:p>
      <w:pPr>
        <w:pStyle w:val="Normal"/>
        <w:jc w:val="center"/>
        <w:rPr>
          <w:b/>
        </w:rPr>
      </w:pPr>
      <w:r>
        <w:rPr>
          <w:b/>
        </w:rPr>
      </w:r>
    </w:p>
    <w:p>
      <w:pPr>
        <w:pStyle w:val="Normal"/>
        <w:jc w:val="center"/>
        <w:rPr>
          <w:b/>
        </w:rPr>
      </w:pPr>
      <w:r>
        <w:rPr>
          <w:b/>
        </w:rPr>
        <w:t>MATTERS RELATING TO EQUITY SECURITIES OF</w:t>
      </w:r>
    </w:p>
    <w:p>
      <w:pPr>
        <w:pStyle w:val="Normal"/>
        <w:jc w:val="center"/>
        <w:rPr>
          <w:b/>
        </w:rPr>
      </w:pPr>
      <w:r>
        <w:rPr>
          <w:b/>
        </w:rPr>
        <w:t>THE SUBJECT COMPANIES AND THEIR SIGNIFICANT ENTITIES</w:t>
      </w:r>
    </w:p>
    <w:p>
      <w:pPr>
        <w:pStyle w:val="Normal"/>
        <w:rPr>
          <w:b/>
        </w:rPr>
      </w:pPr>
      <w:r>
        <w:rPr>
          <w:b/>
        </w:rPr>
      </w:r>
    </w:p>
    <w:p>
      <w:pPr>
        <w:pStyle w:val="Normal"/>
        <w:rPr/>
      </w:pPr>
      <w:r>
        <w:rPr/>
      </w:r>
    </w:p>
    <w:p>
      <w:pPr>
        <w:pStyle w:val="Normal"/>
        <w:rPr/>
      </w:pPr>
      <w:r>
        <w:rPr/>
        <w:t>None.</w:t>
      </w:r>
    </w:p>
    <w:p>
      <w:pPr>
        <w:pStyle w:val="Normal"/>
        <w:rPr/>
      </w:pPr>
      <w:r>
        <w:rPr/>
      </w:r>
      <w:r>
        <w:br w:type="page"/>
      </w:r>
    </w:p>
    <w:p>
      <w:pPr>
        <w:pStyle w:val="Normal"/>
        <w:jc w:val="center"/>
        <w:rPr>
          <w:b/>
        </w:rPr>
      </w:pPr>
      <w:r>
        <w:rPr>
          <w:b/>
        </w:rPr>
        <w:t>SCHEDULE 5.04(d)</w:t>
      </w:r>
    </w:p>
    <w:p>
      <w:pPr>
        <w:pStyle w:val="Normal"/>
        <w:jc w:val="center"/>
        <w:rPr>
          <w:b/>
        </w:rPr>
      </w:pPr>
      <w:r>
        <w:rPr>
          <w:b/>
        </w:rPr>
      </w:r>
    </w:p>
    <w:p>
      <w:pPr>
        <w:pStyle w:val="Normal"/>
        <w:jc w:val="center"/>
        <w:rPr>
          <w:b/>
        </w:rPr>
      </w:pPr>
      <w:r>
        <w:rPr>
          <w:b/>
        </w:rPr>
        <w:t>INTELLECTUAL PROPERTY</w:t>
      </w:r>
    </w:p>
    <w:p>
      <w:pPr>
        <w:pStyle w:val="Normal"/>
        <w:rPr>
          <w:b/>
        </w:rPr>
      </w:pPr>
      <w:r>
        <w:rPr>
          <w:b/>
        </w:rPr>
      </w:r>
    </w:p>
    <w:p>
      <w:pPr>
        <w:pStyle w:val="Normal"/>
        <w:rPr/>
      </w:pPr>
      <w:r>
        <w:rPr/>
      </w:r>
    </w:p>
    <w:p>
      <w:pPr>
        <w:pStyle w:val="Normal"/>
        <w:rPr>
          <w:b/>
        </w:rPr>
      </w:pPr>
      <w:r>
        <w:rPr>
          <w:b/>
        </w:rPr>
        <w:t>[Company to provide.]</w:t>
      </w:r>
    </w:p>
    <w:p>
      <w:pPr>
        <w:pStyle w:val="Normal"/>
        <w:rPr>
          <w:b/>
        </w:rPr>
      </w:pPr>
      <w:r>
        <w:rPr>
          <w:b/>
        </w:rPr>
      </w:r>
      <w:r>
        <w:br w:type="page"/>
      </w:r>
    </w:p>
    <w:p>
      <w:pPr>
        <w:pStyle w:val="Normal"/>
        <w:jc w:val="center"/>
        <w:rPr>
          <w:b/>
        </w:rPr>
      </w:pPr>
      <w:r>
        <w:rPr>
          <w:b/>
        </w:rPr>
        <w:t>SCHEDULE 5.06(a)</w:t>
      </w:r>
    </w:p>
    <w:p>
      <w:pPr>
        <w:pStyle w:val="Normal"/>
        <w:jc w:val="center"/>
        <w:rPr>
          <w:b/>
        </w:rPr>
      </w:pPr>
      <w:r>
        <w:rPr>
          <w:b/>
        </w:rPr>
      </w:r>
    </w:p>
    <w:p>
      <w:pPr>
        <w:pStyle w:val="Normal"/>
        <w:jc w:val="center"/>
        <w:rPr>
          <w:b/>
        </w:rPr>
      </w:pPr>
      <w:r>
        <w:rPr>
          <w:b/>
        </w:rPr>
        <w:t>AUTHORIZATIONS FOR DEVELOPED BUSINESSES</w:t>
      </w:r>
    </w:p>
    <w:p>
      <w:pPr>
        <w:pStyle w:val="Normal"/>
        <w:rPr>
          <w:b/>
        </w:rPr>
      </w:pPr>
      <w:r>
        <w:rPr>
          <w:b/>
        </w:rPr>
      </w:r>
    </w:p>
    <w:p>
      <w:pPr>
        <w:pStyle w:val="Normal"/>
        <w:rPr>
          <w:b/>
        </w:rPr>
      </w:pPr>
      <w:r>
        <w:rPr>
          <w:b/>
        </w:rPr>
      </w:r>
    </w:p>
    <w:p>
      <w:pPr>
        <w:pStyle w:val="Normal"/>
        <w:rPr/>
      </w:pPr>
      <w:r>
        <w:rPr/>
        <w:tab/>
        <w:t>Authorizations necessary to carry on the Business related thereto as currently conducted that have not been obtained.</w:t>
      </w:r>
    </w:p>
    <w:p>
      <w:pPr>
        <w:pStyle w:val="Normal"/>
        <w:rPr/>
      </w:pPr>
      <w:r>
        <w:rPr/>
      </w:r>
    </w:p>
    <w:p>
      <w:pPr>
        <w:sectPr>
          <w:headerReference w:type="default" r:id="rId12"/>
          <w:footerReference w:type="default" r:id="rId13"/>
          <w:type w:val="nextPage"/>
          <w:pgSz w:w="12240" w:h="15840"/>
          <w:pgMar w:left="1440" w:right="1440" w:gutter="0" w:header="720" w:top="1440" w:footer="720" w:bottom="776"/>
          <w:pgNumType w:fmt="decimal"/>
          <w:formProt w:val="false"/>
          <w:textDirection w:val="lrTb"/>
          <w:docGrid w:type="default" w:linePitch="360" w:charSpace="0"/>
        </w:sectPr>
        <w:pStyle w:val="Normal"/>
        <w:rPr>
          <w:b/>
        </w:rPr>
      </w:pPr>
      <w:r>
        <w:rPr>
          <w:b/>
        </w:rPr>
        <w:tab/>
        <w:t>[Discuss whether any of the litigation matters listed on Schedule 5.13 should also be included on this schedule.]</w:t>
      </w:r>
    </w:p>
    <w:p>
      <w:pPr>
        <w:pStyle w:val="Normal"/>
        <w:jc w:val="center"/>
        <w:rPr>
          <w:b/>
        </w:rPr>
      </w:pPr>
      <w:r>
        <w:rPr>
          <w:b/>
        </w:rPr>
        <w:t>SCHEDULE 5.07(b)</w:t>
      </w:r>
    </w:p>
    <w:p>
      <w:pPr>
        <w:pStyle w:val="Normal"/>
        <w:jc w:val="center"/>
        <w:rPr>
          <w:b/>
        </w:rPr>
      </w:pPr>
      <w:r>
        <w:rPr>
          <w:b/>
        </w:rPr>
      </w:r>
    </w:p>
    <w:p>
      <w:pPr>
        <w:pStyle w:val="Normal"/>
        <w:jc w:val="center"/>
        <w:rPr>
          <w:b/>
        </w:rPr>
      </w:pPr>
      <w:r>
        <w:rPr>
          <w:b/>
        </w:rPr>
        <w:t>REGULATING GOVERNMENTAL AUTHORITY</w:t>
      </w:r>
    </w:p>
    <w:p>
      <w:pPr>
        <w:pStyle w:val="Normal"/>
        <w:rPr>
          <w:b/>
        </w:rPr>
      </w:pPr>
      <w:r>
        <w:rPr>
          <w:b/>
        </w:rPr>
      </w:r>
    </w:p>
    <w:p>
      <w:pPr>
        <w:pStyle w:val="Normal"/>
        <w:rPr>
          <w:b/>
        </w:rPr>
      </w:pPr>
      <w:r>
        <w:rPr>
          <w:b/>
        </w:rPr>
      </w:r>
    </w:p>
    <w:p>
      <w:pPr>
        <w:pStyle w:val="Normal"/>
        <w:rPr/>
      </w:pPr>
      <w:r>
        <w:rPr/>
        <w:t>a.</w:t>
        <w:tab/>
        <w:t>Agencia Nacional de Petroleo ("ANP")</w:t>
      </w:r>
    </w:p>
    <w:p>
      <w:pPr>
        <w:pStyle w:val="Normal"/>
        <w:rPr/>
      </w:pPr>
      <w:r>
        <w:rPr/>
      </w:r>
    </w:p>
    <w:p>
      <w:pPr>
        <w:pStyle w:val="Normal"/>
        <w:rPr/>
      </w:pPr>
      <w:r>
        <w:rPr/>
        <w:t>b.</w:t>
        <w:tab/>
        <w:t>Administrative Counsel of Economic Defense ("CADE")</w:t>
      </w:r>
    </w:p>
    <w:p>
      <w:pPr>
        <w:pStyle w:val="Normal"/>
        <w:rPr/>
      </w:pPr>
      <w:r>
        <w:rPr/>
      </w:r>
    </w:p>
    <w:p>
      <w:pPr>
        <w:pStyle w:val="Normal"/>
        <w:rPr/>
      </w:pPr>
      <w:r>
        <w:rPr/>
        <w:t>c.</w:t>
        <w:tab/>
        <w:t>Agencia Reguladora de Servicios Publicos de Estado do Rio de Janiero ("ASEP")</w:t>
      </w:r>
    </w:p>
    <w:p>
      <w:pPr>
        <w:pStyle w:val="Normal"/>
        <w:rPr/>
      </w:pPr>
      <w:r>
        <w:rPr/>
      </w:r>
    </w:p>
    <w:p>
      <w:pPr>
        <w:pStyle w:val="Normal"/>
        <w:rPr/>
      </w:pPr>
      <w:r>
        <w:rPr/>
        <w:t>d.</w:t>
        <w:tab/>
      </w:r>
      <w:r>
        <w:rPr>
          <w:b/>
        </w:rPr>
        <w:t>[SDE?]</w:t>
      </w:r>
    </w:p>
    <w:p>
      <w:pPr>
        <w:pStyle w:val="Normal"/>
        <w:rPr>
          <w:b/>
        </w:rPr>
      </w:pPr>
      <w:r>
        <w:rPr>
          <w:b/>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776"/>
          <w:pgNumType w:fmt="decimal"/>
          <w:formProt w:val="false"/>
          <w:textDirection w:val="lrTb"/>
          <w:docGrid w:type="default" w:linePitch="360" w:charSpace="0"/>
        </w:sectPr>
        <w:pStyle w:val="Normal"/>
        <w:rPr>
          <w:b/>
        </w:rPr>
      </w:pPr>
      <w:r>
        <w:rPr>
          <w:b/>
        </w:rPr>
      </w:r>
    </w:p>
    <w:p>
      <w:pPr>
        <w:pStyle w:val="Normal"/>
        <w:jc w:val="center"/>
        <w:rPr>
          <w:b/>
        </w:rPr>
      </w:pPr>
      <w:r>
        <w:rPr>
          <w:b/>
        </w:rPr>
        <w:t>SCHEDULE 5.08(a)</w:t>
      </w:r>
    </w:p>
    <w:p>
      <w:pPr>
        <w:pStyle w:val="Normal"/>
        <w:jc w:val="center"/>
        <w:rPr>
          <w:b/>
        </w:rPr>
      </w:pPr>
      <w:r>
        <w:rPr>
          <w:b/>
        </w:rPr>
      </w:r>
    </w:p>
    <w:p>
      <w:pPr>
        <w:pStyle w:val="Normal"/>
        <w:jc w:val="center"/>
        <w:rPr>
          <w:b/>
        </w:rPr>
      </w:pPr>
      <w:r>
        <w:rPr>
          <w:b/>
        </w:rPr>
        <w:t>INSURANCE</w:t>
      </w:r>
    </w:p>
    <w:p>
      <w:pPr>
        <w:pStyle w:val="Normal"/>
        <w:rPr>
          <w:b/>
        </w:rPr>
      </w:pPr>
      <w:r>
        <w:rPr>
          <w:b/>
        </w:rPr>
      </w:r>
    </w:p>
    <w:p>
      <w:pPr>
        <w:pStyle w:val="Normal"/>
        <w:rPr>
          <w:b/>
        </w:rPr>
      </w:pPr>
      <w:r>
        <w:rPr>
          <w:b/>
        </w:rPr>
      </w:r>
    </w:p>
    <w:tbl>
      <w:tblPr>
        <w:tblW w:w="14148" w:type="dxa"/>
        <w:jc w:val="start"/>
        <w:tblInd w:w="0" w:type="dxa"/>
        <w:tblLayout w:type="fixed"/>
        <w:tblCellMar>
          <w:top w:w="0" w:type="dxa"/>
          <w:start w:w="108" w:type="dxa"/>
          <w:bottom w:w="0" w:type="dxa"/>
          <w:end w:w="108" w:type="dxa"/>
        </w:tblCellMar>
      </w:tblPr>
      <w:tblGrid>
        <w:gridCol w:w="1458"/>
        <w:gridCol w:w="1260"/>
        <w:gridCol w:w="1260"/>
        <w:gridCol w:w="4752"/>
        <w:gridCol w:w="1440"/>
        <w:gridCol w:w="2088"/>
        <w:gridCol w:w="1890"/>
      </w:tblGrid>
      <w:tr>
        <w:trPr>
          <w:tblHeader w:val="true"/>
          <w:trHeight w:val="177"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Underwriter</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Type</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Expiration Date</w:t>
            </w:r>
          </w:p>
        </w:tc>
        <w:tc>
          <w:tcPr>
            <w:tcW w:w="4752"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Coverage</w:t>
            </w:r>
          </w:p>
        </w:tc>
        <w:tc>
          <w:tcPr>
            <w:tcW w:w="144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Deductible</w:t>
            </w:r>
          </w:p>
        </w:tc>
        <w:tc>
          <w:tcPr>
            <w:tcW w:w="208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Sum Insured(US$)</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Annual Premium</w:t>
            </w:r>
          </w:p>
        </w:tc>
      </w:tr>
      <w:tr>
        <w:trPr>
          <w:trHeight w:val="1215"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Bradesco Seguros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start"/>
              <w:rPr/>
            </w:pPr>
            <w:r>
              <w:rPr/>
              <w:t>General coverage for harm to third parties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07/31/00</w:t>
            </w:r>
          </w:p>
        </w:tc>
        <w:tc>
          <w:tcPr>
            <w:tcW w:w="4752" w:type="dxa"/>
            <w:tcBorders>
              <w:top w:val="single" w:sz="4" w:space="0" w:color="000000"/>
              <w:start w:val="single" w:sz="4" w:space="0" w:color="000000"/>
              <w:end w:val="single" w:sz="4" w:space="0" w:color="000000"/>
            </w:tcBorders>
          </w:tcPr>
          <w:p>
            <w:pPr>
              <w:pStyle w:val="Normal"/>
              <w:rPr/>
            </w:pPr>
            <w:r>
              <w:rPr/>
              <w:t xml:space="preserve">Material damages or bodily injury caused to third parties arising from an event related to the "Covered Risks" contained in </w:t>
            </w:r>
            <w:r>
              <w:rPr>
                <w:b/>
              </w:rPr>
              <w:t>["item 5"]</w:t>
            </w:r>
            <w:r>
              <w:rPr/>
              <w:t xml:space="preserve"> </w:t>
            </w:r>
            <w:r>
              <w:rPr>
                <w:b/>
              </w:rPr>
              <w:t>[Company to provide further explanation regarding "item 5"]</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US$25,000 per event</w:t>
            </w:r>
          </w:p>
        </w:tc>
        <w:tc>
          <w:tcPr>
            <w:tcW w:w="2088" w:type="dxa"/>
            <w:tcBorders>
              <w:top w:val="single" w:sz="4" w:space="0" w:color="000000"/>
              <w:start w:val="single" w:sz="4" w:space="0" w:color="000000"/>
              <w:end w:val="single" w:sz="4" w:space="0" w:color="000000"/>
            </w:tcBorders>
          </w:tcPr>
          <w:p>
            <w:pPr>
              <w:pStyle w:val="Normal"/>
              <w:rPr/>
            </w:pPr>
            <w:r>
              <w:rPr/>
              <w:t>100,000,000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US$158, 594.11</w:t>
            </w:r>
          </w:p>
        </w:tc>
      </w:tr>
      <w:tr>
        <w:trPr>
          <w:trHeight w:val="260" w:hRule="atLeast"/>
        </w:trPr>
        <w:tc>
          <w:tcPr>
            <w:tcW w:w="1458" w:type="dxa"/>
            <w:vMerge w:val="restart"/>
            <w:tcBorders>
              <w:top w:val="single" w:sz="4" w:space="0" w:color="000000"/>
              <w:start w:val="single" w:sz="4" w:space="0" w:color="000000"/>
              <w:bottom w:val="single" w:sz="4" w:space="0" w:color="000000"/>
              <w:end w:val="single" w:sz="4" w:space="0" w:color="000000"/>
            </w:tcBorders>
          </w:tcPr>
          <w:p>
            <w:pPr>
              <w:pStyle w:val="Normal"/>
              <w:rPr/>
            </w:pPr>
            <w:r>
              <w:rPr/>
              <w:t>Bradesco Seguros</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Operation/all risk</w:t>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rPr/>
            </w:pPr>
            <w:r>
              <w:rPr/>
              <w:t>07/31/00</w:t>
            </w:r>
          </w:p>
        </w:tc>
        <w:tc>
          <w:tcPr>
            <w:tcW w:w="4752" w:type="dxa"/>
            <w:tcBorders>
              <w:top w:val="single" w:sz="4" w:space="0" w:color="000000"/>
              <w:start w:val="single" w:sz="4" w:space="0" w:color="000000"/>
              <w:end w:val="single" w:sz="4" w:space="0" w:color="000000"/>
            </w:tcBorders>
          </w:tcPr>
          <w:p>
            <w:pPr>
              <w:pStyle w:val="Normal"/>
              <w:rPr/>
            </w:pPr>
            <w:r>
              <w:rPr/>
              <w:t>Material damages (all risks), including breakage of machines</w:t>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US$25,000 per event</w:t>
            </w:r>
          </w:p>
        </w:tc>
        <w:tc>
          <w:tcPr>
            <w:tcW w:w="2088" w:type="dxa"/>
            <w:tcBorders>
              <w:top w:val="single" w:sz="4" w:space="0" w:color="000000"/>
              <w:start w:val="single" w:sz="4" w:space="0" w:color="000000"/>
              <w:end w:val="single" w:sz="4" w:space="0" w:color="000000"/>
            </w:tcBorders>
          </w:tcPr>
          <w:p>
            <w:pPr>
              <w:pStyle w:val="Normal"/>
              <w:rPr/>
            </w:pPr>
            <w:r>
              <w:rPr/>
              <w:t>Reimbursement Limit:</w:t>
            </w:r>
          </w:p>
        </w:tc>
        <w:tc>
          <w:tcPr>
            <w:tcW w:w="1890" w:type="dxa"/>
            <w:vMerge w:val="restart"/>
            <w:tcBorders>
              <w:top w:val="single" w:sz="4" w:space="0" w:color="000000"/>
              <w:start w:val="single" w:sz="4" w:space="0" w:color="000000"/>
              <w:bottom w:val="single" w:sz="4" w:space="0" w:color="000000"/>
              <w:end w:val="single" w:sz="4" w:space="0" w:color="000000"/>
            </w:tcBorders>
          </w:tcPr>
          <w:p>
            <w:pPr>
              <w:pStyle w:val="Normal"/>
              <w:rPr/>
            </w:pPr>
            <w:r>
              <w:rPr/>
              <w:t>US$636,001.57</w:t>
            </w:r>
          </w:p>
        </w:tc>
      </w:tr>
      <w:tr>
        <w:trPr>
          <w:trHeight w:val="348"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rPr/>
            </w:pPr>
            <w:r>
              <w:rPr/>
              <w:t>348,110,699</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0"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jc w:val="start"/>
              <w:rPr/>
            </w:pPr>
            <w:r>
              <w:rPr/>
              <w:t>Sub-limits for material damages</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42"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1) Theft of property</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1) 500,000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52"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4"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2) Expenses for removing obstacles</w:t>
            </w:r>
            <w:r>
              <w:rPr>
                <w:rStyle w:val="FootnoteCharacters"/>
                <w:rStyle w:val="FootnoteReference"/>
              </w:rPr>
              <w:footnoteReference w:id="2"/>
            </w:r>
            <w:r>
              <w:rPr/>
              <w:t>, salvage, and putting out fires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2) 10,000,000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61"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15"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3) Disloyalty of employees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3) 10,000,000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0"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7"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4) Expert's fees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4) 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61"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87"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bottom w:val="single" w:sz="4" w:space="0" w:color="000000"/>
              <w:end w:val="single" w:sz="4" w:space="0" w:color="000000"/>
            </w:tcBorders>
          </w:tcPr>
          <w:p>
            <w:pPr>
              <w:pStyle w:val="Normal"/>
              <w:rPr/>
            </w:pPr>
            <w:r>
              <w:rPr/>
              <w:t>5) Theft of valuables (in the interior of an establishment or in transit)</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5) 100,000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7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78"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6) New acquisitions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end w:val="single" w:sz="4" w:space="0" w:color="000000"/>
            </w:tcBorders>
          </w:tcPr>
          <w:p>
            <w:pPr>
              <w:pStyle w:val="Normal"/>
              <w:rPr/>
            </w:pPr>
            <w:r>
              <w:rPr/>
              <w:t>6) 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43"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42"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bottom w:val="single" w:sz="4" w:space="0" w:color="000000"/>
              <w:end w:val="single" w:sz="4" w:space="0" w:color="000000"/>
            </w:tcBorders>
          </w:tcPr>
          <w:p>
            <w:pPr>
              <w:pStyle w:val="Normal"/>
              <w:jc w:val="start"/>
              <w:rPr/>
            </w:pPr>
            <w:r>
              <w:rPr/>
              <w:t>7) Extraordinary expenses/Expenses for temporary repairs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7) 1,000,000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33" w:hRule="atLeast"/>
        </w:trPr>
        <w:tc>
          <w:tcPr>
            <w:tcW w:w="145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bottom w:val="single" w:sz="4" w:space="0" w:color="000000"/>
              <w:end w:val="single" w:sz="4" w:space="0" w:color="000000"/>
            </w:tcBorders>
          </w:tcPr>
          <w:p>
            <w:pPr>
              <w:pStyle w:val="Normal"/>
              <w:rPr/>
            </w:pPr>
            <w:r>
              <w:rPr/>
              <w:t>8) Small engineering projects, expansions, repairs and reformations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8) 5,000,000</w:t>
            </w:r>
          </w:p>
        </w:tc>
        <w:tc>
          <w:tcPr>
            <w:tcW w:w="189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467"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snapToGrid w:val="false"/>
              <w:rPr/>
            </w:pPr>
            <w:r>
              <w:rPr/>
            </w:r>
          </w:p>
        </w:tc>
        <w:tc>
          <w:tcPr>
            <w:tcW w:w="1440" w:type="dxa"/>
            <w:vMerge w:val="restart"/>
            <w:tcBorders>
              <w:top w:val="single" w:sz="4" w:space="0" w:color="000000"/>
              <w:start w:val="single" w:sz="4" w:space="0" w:color="000000"/>
              <w:bottom w:val="single" w:sz="4" w:space="0" w:color="000000"/>
              <w:end w:val="single" w:sz="4" w:space="0" w:color="000000"/>
            </w:tcBorders>
          </w:tcPr>
          <w:p>
            <w:pPr>
              <w:pStyle w:val="Normal"/>
              <w:jc w:val="start"/>
              <w:rPr/>
            </w:pPr>
            <w:r>
              <w:rPr/>
              <w:t>5 days per event</w:t>
            </w:r>
          </w:p>
        </w:tc>
        <w:tc>
          <w:tcPr>
            <w:tcW w:w="2088" w:type="dxa"/>
            <w:tcBorders>
              <w:top w:val="single" w:sz="4" w:space="0" w:color="000000"/>
              <w:start w:val="single" w:sz="4" w:space="0" w:color="000000"/>
              <w:bottom w:val="single" w:sz="4" w:space="0" w:color="000000"/>
              <w:end w:val="single" w:sz="4" w:space="0" w:color="000000"/>
            </w:tcBorders>
          </w:tcPr>
          <w:p>
            <w:pPr>
              <w:pStyle w:val="Normal"/>
              <w:jc w:val="start"/>
              <w:rPr/>
            </w:pPr>
            <w:r>
              <w:rPr/>
              <w:t>Sub-limits for loss of profits, use and occupancy:</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9) Additional excess costs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9) 1,000,000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06"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10) Suppliers/clients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10) 50,000,000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34"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end w:val="single" w:sz="4" w:space="0" w:color="000000"/>
            </w:tcBorders>
          </w:tcPr>
          <w:p>
            <w:pPr>
              <w:pStyle w:val="Normal"/>
              <w:rPr/>
            </w:pPr>
            <w:r>
              <w:rPr/>
              <w:t>11) Impediments to access</w:t>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11) 50,000,000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start w:val="single" w:sz="4" w:space="0" w:color="000000"/>
              <w:bottom w:val="single" w:sz="4" w:space="0" w:color="000000"/>
              <w:end w:val="single" w:sz="4" w:space="0" w:color="000000"/>
            </w:tcBorders>
          </w:tcPr>
          <w:p>
            <w:pPr>
              <w:pStyle w:val="Normal"/>
              <w:snapToGrid w:val="false"/>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229" w:hRule="atLeast"/>
        </w:trPr>
        <w:tc>
          <w:tcPr>
            <w:tcW w:w="14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52" w:type="dxa"/>
            <w:tcBorders>
              <w:top w:val="single" w:sz="4" w:space="0" w:color="000000"/>
              <w:start w:val="single" w:sz="4" w:space="0" w:color="000000"/>
              <w:bottom w:val="single" w:sz="4" w:space="0" w:color="000000"/>
              <w:end w:val="single" w:sz="4" w:space="0" w:color="000000"/>
            </w:tcBorders>
          </w:tcPr>
          <w:p>
            <w:pPr>
              <w:pStyle w:val="Normal"/>
              <w:rPr/>
            </w:pPr>
            <w:r>
              <w:rPr/>
              <w:t>12) Loss of anticipated profits for small projects</w:t>
            </w:r>
          </w:p>
          <w:p>
            <w:pPr>
              <w:pStyle w:val="Normal"/>
              <w:rPr/>
            </w:pPr>
            <w:r>
              <w:rPr/>
            </w:r>
          </w:p>
        </w:tc>
        <w:tc>
          <w:tcPr>
            <w:tcW w:w="14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12) 15,000,000</w:t>
            </w:r>
          </w:p>
        </w:tc>
        <w:tc>
          <w:tcPr>
            <w:tcW w:w="18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787"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AIG Brasil Interamericana</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Auto/</w:t>
            </w:r>
          </w:p>
          <w:p>
            <w:pPr>
              <w:pStyle w:val="Normal"/>
              <w:rPr/>
            </w:pPr>
            <w:r>
              <w:rPr>
                <w:sz w:val="22"/>
              </w:rPr>
              <w:t>optional coverage for damages</w:t>
            </w:r>
            <w:r>
              <w:rPr/>
              <w:t xml:space="preserve"> caused</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01/09/00</w:t>
            </w:r>
          </w:p>
        </w:tc>
        <w:tc>
          <w:tcPr>
            <w:tcW w:w="4752" w:type="dxa"/>
            <w:tcBorders>
              <w:top w:val="single" w:sz="4" w:space="0" w:color="000000"/>
              <w:start w:val="single" w:sz="4" w:space="0" w:color="000000"/>
              <w:bottom w:val="single" w:sz="4" w:space="0" w:color="000000"/>
              <w:end w:val="single" w:sz="4" w:space="0" w:color="000000"/>
            </w:tcBorders>
          </w:tcPr>
          <w:p>
            <w:pPr>
              <w:pStyle w:val="Normal"/>
              <w:rPr/>
            </w:pPr>
            <w:r>
              <w:rPr/>
              <w:t>Insured vehicle, damages caused, optional coverage for damages caused, vehicles and pain and suffering</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start"/>
              <w:rPr/>
            </w:pPr>
            <w:r>
              <w:rPr/>
              <w:t>R$1,000 per event, applicable to vehicles and pain and suffering</w:t>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Various</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R$60,403.95</w:t>
            </w:r>
          </w:p>
        </w:tc>
      </w:tr>
      <w:tr>
        <w:trPr>
          <w:trHeight w:val="2412" w:hRule="atLeast"/>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AIG Brasil Interamericana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start"/>
              <w:rPr/>
            </w:pPr>
            <w:r>
              <w:rPr/>
              <w:t>Counsel, Directors and/or Adminis-trators of Commer-cial entities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03/17/01</w:t>
            </w:r>
          </w:p>
        </w:tc>
        <w:tc>
          <w:tcPr>
            <w:tcW w:w="4752" w:type="dxa"/>
            <w:tcBorders>
              <w:top w:val="single" w:sz="4" w:space="0" w:color="000000"/>
              <w:start w:val="single" w:sz="4" w:space="0" w:color="000000"/>
              <w:bottom w:val="single" w:sz="4" w:space="0" w:color="000000"/>
              <w:end w:val="single" w:sz="4" w:space="0" w:color="000000"/>
            </w:tcBorders>
          </w:tcPr>
          <w:p>
            <w:pPr>
              <w:pStyle w:val="Normal"/>
              <w:rPr/>
            </w:pPr>
            <w:r>
              <w:rPr/>
              <w:t xml:space="preserve">Losses and damages resulting from any claims against "counsel, directors and/or administrators, for harmful acts arising exclusively in the course of their jobs or positions" </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None</w:t>
            </w:r>
          </w:p>
        </w:tc>
        <w:tc>
          <w:tcPr>
            <w:tcW w:w="2088" w:type="dxa"/>
            <w:tcBorders>
              <w:top w:val="single" w:sz="4" w:space="0" w:color="000000"/>
              <w:start w:val="single" w:sz="4" w:space="0" w:color="000000"/>
              <w:bottom w:val="single" w:sz="4" w:space="0" w:color="000000"/>
              <w:end w:val="single" w:sz="4" w:space="0" w:color="000000"/>
            </w:tcBorders>
          </w:tcPr>
          <w:p>
            <w:pPr>
              <w:pStyle w:val="Normal"/>
              <w:rPr/>
            </w:pPr>
            <w:r>
              <w:rPr/>
              <w:t>5,000,000</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US$28,037.38</w:t>
            </w:r>
          </w:p>
        </w:tc>
      </w:tr>
    </w:tbl>
    <w:p>
      <w:pPr>
        <w:pStyle w:val="Normal"/>
        <w:rPr/>
      </w:pPr>
      <w:r>
        <w:rPr/>
      </w:r>
    </w:p>
    <w:p>
      <w:pPr>
        <w:pStyle w:val="Normal"/>
        <w:rPr/>
      </w:pPr>
      <w:r>
        <w:rPr/>
      </w:r>
    </w:p>
    <w:p>
      <w:pPr>
        <w:sectPr>
          <w:headerReference w:type="default" r:id="rId18"/>
          <w:headerReference w:type="first" r:id="rId19"/>
          <w:footerReference w:type="default" r:id="rId20"/>
          <w:footerReference w:type="first" r:id="rId21"/>
          <w:footnotePr>
            <w:numFmt w:val="decimal"/>
          </w:footnotePr>
          <w:type w:val="nextPage"/>
          <w:pgSz w:orient="landscape" w:w="15840" w:h="12240"/>
          <w:pgMar w:left="720" w:right="1440" w:gutter="0" w:header="720" w:top="1440" w:footer="720" w:bottom="1440"/>
          <w:pgNumType w:fmt="decimal"/>
          <w:formProt w:val="false"/>
          <w:textDirection w:val="lrTb"/>
          <w:docGrid w:type="default" w:linePitch="360" w:charSpace="0"/>
        </w:sectPr>
        <w:pStyle w:val="Normal"/>
        <w:rPr/>
      </w:pPr>
      <w:r>
        <w:rPr/>
      </w:r>
    </w:p>
    <w:p>
      <w:pPr>
        <w:pStyle w:val="Normal"/>
        <w:jc w:val="center"/>
        <w:rPr>
          <w:b/>
        </w:rPr>
      </w:pPr>
      <w:r>
        <w:rPr>
          <w:b/>
        </w:rPr>
        <w:t>SCHEDULE 5.09(d)</w:t>
      </w:r>
    </w:p>
    <w:p>
      <w:pPr>
        <w:pStyle w:val="Normal"/>
        <w:jc w:val="center"/>
        <w:rPr>
          <w:b/>
        </w:rPr>
      </w:pPr>
      <w:r>
        <w:rPr>
          <w:b/>
        </w:rPr>
      </w:r>
    </w:p>
    <w:p>
      <w:pPr>
        <w:pStyle w:val="Normal"/>
        <w:jc w:val="center"/>
        <w:rPr>
          <w:b/>
        </w:rPr>
      </w:pPr>
      <w:r>
        <w:rPr>
          <w:b/>
        </w:rPr>
        <w:t>TAX ALLOCATION AGREEMENTS</w:t>
      </w:r>
    </w:p>
    <w:p>
      <w:pPr>
        <w:pStyle w:val="Normal"/>
        <w:rPr>
          <w:b/>
        </w:rPr>
      </w:pPr>
      <w:r>
        <w:rPr>
          <w:b/>
        </w:rPr>
      </w:r>
    </w:p>
    <w:p>
      <w:pPr>
        <w:pStyle w:val="Normal"/>
        <w:rPr>
          <w:b/>
        </w:rPr>
      </w:pPr>
      <w:r>
        <w:rPr>
          <w:b/>
        </w:rPr>
      </w:r>
    </w:p>
    <w:p>
      <w:pPr>
        <w:pStyle w:val="Normal"/>
        <w:rPr>
          <w:b/>
        </w:rPr>
      </w:pPr>
      <w:r>
        <w:rPr>
          <w:b/>
        </w:rPr>
        <w:t>[Company to supply.]</w:t>
      </w:r>
    </w:p>
    <w:p>
      <w:pPr>
        <w:pStyle w:val="Normal"/>
        <w:rPr>
          <w:b/>
        </w:rPr>
      </w:pPr>
      <w:r>
        <w:rPr>
          <w:b/>
        </w:rPr>
      </w:r>
      <w:r>
        <w:br w:type="page"/>
      </w:r>
    </w:p>
    <w:p>
      <w:pPr>
        <w:pStyle w:val="Normal"/>
        <w:jc w:val="center"/>
        <w:rPr>
          <w:b/>
        </w:rPr>
      </w:pPr>
      <w:r>
        <w:rPr>
          <w:b/>
        </w:rPr>
        <w:t>SCHEDULE 5.10(a)</w:t>
      </w:r>
    </w:p>
    <w:p>
      <w:pPr>
        <w:pStyle w:val="Normal"/>
        <w:jc w:val="center"/>
        <w:rPr>
          <w:b/>
        </w:rPr>
      </w:pPr>
      <w:r>
        <w:rPr>
          <w:b/>
        </w:rPr>
      </w:r>
    </w:p>
    <w:p>
      <w:pPr>
        <w:pStyle w:val="Normal"/>
        <w:jc w:val="center"/>
        <w:rPr>
          <w:b/>
        </w:rPr>
      </w:pPr>
      <w:r>
        <w:rPr>
          <w:b/>
        </w:rPr>
        <w:t>PRINCIPAL CONTRACTS</w:t>
      </w:r>
    </w:p>
    <w:p>
      <w:pPr>
        <w:pStyle w:val="Normal"/>
        <w:rPr>
          <w:b/>
        </w:rPr>
      </w:pPr>
      <w:r>
        <w:rPr>
          <w:b/>
        </w:rPr>
      </w:r>
    </w:p>
    <w:p>
      <w:pPr>
        <w:pStyle w:val="Normal"/>
        <w:rPr/>
      </w:pPr>
      <w:r>
        <w:rPr/>
      </w:r>
    </w:p>
    <w:p>
      <w:pPr>
        <w:pStyle w:val="Normal"/>
        <w:ind w:hanging="720" w:start="720" w:end="0"/>
        <w:rPr/>
      </w:pPr>
      <w:r>
        <w:rPr/>
        <w:t>I.</w:t>
        <w:tab/>
        <w:t>See the Index to Documents, a copy of which is attached to this Schedule, contained in the Data Room relating to the transactions contemplated by the Agreement.  All Principal Contracts are listed among the contracts and agreements therein listed (other than Significant Suretyship Arrangements, which are listed on Schedule 5.10(b) and Schedule 7.05 respectively to this Parent Disclosure Letter) and are hereby incorporated herein by this reference.</w:t>
      </w:r>
    </w:p>
    <w:p>
      <w:pPr>
        <w:pStyle w:val="Normal"/>
        <w:ind w:hanging="720" w:start="720" w:end="0"/>
        <w:rPr/>
      </w:pPr>
      <w:r>
        <w:rPr/>
      </w:r>
    </w:p>
    <w:p>
      <w:pPr>
        <w:pStyle w:val="Normal"/>
        <w:ind w:hanging="720" w:start="720" w:end="0"/>
        <w:rPr/>
      </w:pPr>
      <w:r>
        <w:rPr/>
        <w:t>II.</w:t>
        <w:tab/>
        <w:t>The balance of this Schedule 5.10(a) sets forth a list of each Principal Contract, other than any Related Party Contract or Suretyship Arrangement, with respect to which a party thereto may be in default in performance of such Principal Contract:</w:t>
      </w:r>
    </w:p>
    <w:p>
      <w:pPr>
        <w:pStyle w:val="Normal"/>
        <w:ind w:hanging="720" w:start="720" w:end="0"/>
        <w:rPr/>
      </w:pPr>
      <w:r>
        <w:rPr/>
      </w:r>
    </w:p>
    <w:p>
      <w:pPr>
        <w:pStyle w:val="Normal"/>
        <w:ind w:hanging="720" w:start="720" w:end="0"/>
        <w:rPr/>
      </w:pPr>
      <w:r>
        <w:rPr/>
        <w:tab/>
        <w:t>None.</w:t>
      </w:r>
    </w:p>
    <w:p>
      <w:pPr>
        <w:pStyle w:val="Normal"/>
        <w:ind w:hanging="720" w:start="720" w:end="0"/>
        <w:rPr/>
      </w:pPr>
      <w:r>
        <w:rPr/>
      </w:r>
      <w:r>
        <w:br w:type="page"/>
      </w:r>
    </w:p>
    <w:p>
      <w:pPr>
        <w:pStyle w:val="Normal"/>
        <w:ind w:hanging="720" w:start="720" w:end="0"/>
        <w:jc w:val="center"/>
        <w:rPr>
          <w:b/>
        </w:rPr>
      </w:pPr>
      <w:r>
        <w:rPr>
          <w:b/>
        </w:rPr>
        <w:t>SCHEDULE 5.10(b)</w:t>
      </w:r>
    </w:p>
    <w:p>
      <w:pPr>
        <w:pStyle w:val="Normal"/>
        <w:ind w:hanging="720" w:start="720" w:end="0"/>
        <w:jc w:val="center"/>
        <w:rPr>
          <w:b/>
        </w:rPr>
      </w:pPr>
      <w:r>
        <w:rPr>
          <w:b/>
        </w:rPr>
      </w:r>
    </w:p>
    <w:p>
      <w:pPr>
        <w:pStyle w:val="Normal"/>
        <w:ind w:hanging="720" w:start="720" w:end="0"/>
        <w:jc w:val="center"/>
        <w:rPr>
          <w:b/>
        </w:rPr>
      </w:pPr>
      <w:r>
        <w:rPr>
          <w:b/>
        </w:rPr>
        <w:t>SIGNIFICANT SURETYSHIP ARRANGEMENTS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p>
      <w:pPr>
        <w:pStyle w:val="Normal"/>
        <w:ind w:hanging="720" w:start="720" w:end="0"/>
        <w:rPr>
          <w:b/>
        </w:rPr>
      </w:pPr>
      <w:r>
        <w:rPr>
          <w:b/>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r>
    </w:p>
    <w:p>
      <w:pPr>
        <w:pStyle w:val="Normal"/>
        <w:ind w:hanging="720" w:start="720" w:end="0"/>
        <w:jc w:val="center"/>
        <w:rPr>
          <w:b/>
        </w:rPr>
      </w:pPr>
      <w:r>
        <w:rPr>
          <w:b/>
        </w:rPr>
        <w:t>SCHEDULE 5.11(b)</w:t>
      </w:r>
    </w:p>
    <w:p>
      <w:pPr>
        <w:pStyle w:val="Normal"/>
        <w:ind w:hanging="720" w:start="720" w:end="0"/>
        <w:jc w:val="center"/>
        <w:rPr>
          <w:b/>
        </w:rPr>
      </w:pPr>
      <w:r>
        <w:rPr>
          <w:b/>
        </w:rPr>
      </w:r>
    </w:p>
    <w:p>
      <w:pPr>
        <w:pStyle w:val="Normal"/>
        <w:ind w:hanging="720" w:start="720" w:end="0"/>
        <w:jc w:val="center"/>
        <w:rPr>
          <w:b/>
        </w:rPr>
      </w:pPr>
      <w:r>
        <w:rPr>
          <w:b/>
        </w:rPr>
        <w:t>BENEFIT PLANS</w:t>
      </w:r>
    </w:p>
    <w:p>
      <w:pPr>
        <w:pStyle w:val="Normal"/>
        <w:ind w:hanging="720" w:start="720" w:end="0"/>
        <w:rPr>
          <w:b/>
        </w:rPr>
      </w:pPr>
      <w:r>
        <w:rPr>
          <w:b/>
        </w:rPr>
      </w:r>
    </w:p>
    <w:p>
      <w:pPr>
        <w:pStyle w:val="Normal"/>
        <w:ind w:hanging="720" w:start="720" w:end="0"/>
        <w:rPr>
          <w:b/>
        </w:rPr>
      </w:pPr>
      <w:r>
        <w:rPr>
          <w:b/>
        </w:rPr>
      </w:r>
    </w:p>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t>[To come.]</w:t>
      </w:r>
    </w:p>
    <w:p>
      <w:pPr>
        <w:pStyle w:val="Normal"/>
        <w:ind w:hanging="720" w:start="720" w:end="0"/>
        <w:jc w:val="center"/>
        <w:rPr>
          <w:b/>
        </w:rPr>
      </w:pPr>
      <w:r>
        <w:rPr>
          <w:b/>
        </w:rPr>
        <w:t>SCHEDULE 5.11(c)</w:t>
      </w:r>
    </w:p>
    <w:p>
      <w:pPr>
        <w:pStyle w:val="Normal"/>
        <w:ind w:hanging="720" w:start="720" w:end="0"/>
        <w:jc w:val="center"/>
        <w:rPr>
          <w:b/>
        </w:rPr>
      </w:pPr>
      <w:r>
        <w:rPr>
          <w:b/>
        </w:rPr>
      </w:r>
    </w:p>
    <w:p>
      <w:pPr>
        <w:pStyle w:val="Normal"/>
        <w:ind w:hanging="720" w:start="720" w:end="0"/>
        <w:jc w:val="center"/>
        <w:rPr>
          <w:b/>
        </w:rPr>
      </w:pPr>
      <w:r>
        <w:rPr>
          <w:b/>
        </w:rPr>
        <w:t>ACTIONS, SUITS AND CLAIMS</w:t>
      </w:r>
    </w:p>
    <w:p>
      <w:pPr>
        <w:pStyle w:val="Normal"/>
        <w:ind w:hanging="720" w:start="720" w:end="0"/>
        <w:jc w:val="center"/>
        <w:rPr>
          <w:b/>
        </w:rPr>
      </w:pPr>
      <w:r>
        <w:rPr>
          <w:b/>
        </w:rPr>
        <w:t>RELATED TO BENEFIT PLANS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1.</w:t>
        <w:tab/>
        <w:t xml:space="preserve">GASIUS, CEG’s pension plan is underfunded and under government intervetion.  </w:t>
      </w:r>
      <w:r>
        <w:rPr>
          <w:b/>
        </w:rPr>
        <w:t xml:space="preserve">[The estimated maximum potential liability for all owners of CEG is $38.4 million, of which 25.3833% may be attributed to the Subject Company based upon its ownership interest in CEG.]  </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pStyle w:val="Normal"/>
        <w:ind w:hanging="720" w:start="720" w:end="0"/>
        <w:rPr>
          <w:b/>
        </w:rPr>
      </w:pPr>
      <w:r>
        <w:rPr>
          <w:b/>
        </w:rPr>
      </w:r>
    </w:p>
    <w:p>
      <w:pPr>
        <w:pStyle w:val="Normal"/>
        <w:ind w:hanging="720" w:start="720" w:end="0"/>
        <w:jc w:val="center"/>
        <w:rPr>
          <w:b/>
        </w:rPr>
      </w:pPr>
      <w:r>
        <w:rPr>
          <w:b/>
        </w:rPr>
        <w:t>SCHEDULE 5.12</w:t>
      </w:r>
    </w:p>
    <w:p>
      <w:pPr>
        <w:pStyle w:val="Normal"/>
        <w:ind w:hanging="720" w:start="720" w:end="0"/>
        <w:jc w:val="center"/>
        <w:rPr>
          <w:b/>
        </w:rPr>
      </w:pPr>
      <w:r>
        <w:rPr>
          <w:b/>
        </w:rPr>
      </w:r>
    </w:p>
    <w:p>
      <w:pPr>
        <w:pStyle w:val="Normal"/>
        <w:ind w:hanging="720" w:start="720" w:end="0"/>
        <w:jc w:val="center"/>
        <w:rPr>
          <w:b/>
        </w:rPr>
      </w:pPr>
      <w:r>
        <w:rPr>
          <w:b/>
        </w:rPr>
        <w:t>ENVIRONMENTAL MATTERS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p>
      <w:pPr>
        <w:pStyle w:val="Normal"/>
        <w:ind w:hanging="720" w:start="720" w:end="0"/>
        <w:rPr>
          <w:b/>
        </w:rPr>
      </w:pPr>
      <w:r>
        <w:rPr>
          <w:b/>
        </w:rPr>
      </w:r>
      <w:r>
        <w:br w:type="page"/>
      </w:r>
    </w:p>
    <w:p>
      <w:pPr>
        <w:pStyle w:val="Normal"/>
        <w:ind w:hanging="720" w:start="720" w:end="0"/>
        <w:jc w:val="center"/>
        <w:rPr>
          <w:b/>
        </w:rPr>
      </w:pPr>
      <w:r>
        <w:rPr>
          <w:b/>
        </w:rPr>
        <w:t>SCHEDULE 5.13</w:t>
      </w:r>
    </w:p>
    <w:p>
      <w:pPr>
        <w:pStyle w:val="Normal"/>
        <w:ind w:hanging="720" w:start="720" w:end="0"/>
        <w:jc w:val="center"/>
        <w:rPr>
          <w:b/>
        </w:rPr>
      </w:pPr>
      <w:r>
        <w:rPr>
          <w:b/>
        </w:rPr>
      </w:r>
    </w:p>
    <w:p>
      <w:pPr>
        <w:pStyle w:val="Normal"/>
        <w:ind w:hanging="720" w:start="720" w:end="0"/>
        <w:jc w:val="center"/>
        <w:rPr>
          <w:b/>
        </w:rPr>
      </w:pPr>
      <w:r>
        <w:rPr>
          <w:b/>
        </w:rPr>
        <w:t>LITIGATION</w:t>
      </w:r>
    </w:p>
    <w:p>
      <w:pPr>
        <w:pStyle w:val="Normal"/>
        <w:ind w:hanging="720" w:start="720" w:end="0"/>
        <w:rPr>
          <w:b/>
        </w:rPr>
      </w:pPr>
      <w:r>
        <w:rPr>
          <w:b/>
        </w:rPr>
      </w:r>
    </w:p>
    <w:p>
      <w:pPr>
        <w:pStyle w:val="Normal"/>
        <w:rPr>
          <w:b/>
        </w:rPr>
      </w:pPr>
      <w:r>
        <w:rPr>
          <w:b/>
        </w:rPr>
      </w:r>
    </w:p>
    <w:p>
      <w:pPr>
        <w:pStyle w:val="Normal"/>
        <w:rPr/>
      </w:pPr>
      <w:r>
        <w:rPr>
          <w:u w:val="single"/>
        </w:rPr>
        <w:t>CEG</w:t>
      </w:r>
      <w:r>
        <w:rPr/>
        <w:t>:</w:t>
      </w:r>
    </w:p>
    <w:p>
      <w:pPr>
        <w:pStyle w:val="Normal"/>
        <w:rPr>
          <w:b/>
        </w:rPr>
      </w:pPr>
      <w:r>
        <w:rPr>
          <w:b/>
        </w:rPr>
      </w:r>
    </w:p>
    <w:p>
      <w:pPr>
        <w:pStyle w:val="Normal"/>
        <w:ind w:hanging="720" w:start="720" w:end="0"/>
        <w:rPr/>
      </w:pPr>
      <w:r>
        <w:rPr/>
        <w:t>1.</w:t>
        <w:tab/>
        <w:t xml:space="preserve">At the request of the governor of the state of Rio de Janeiro, the Anencia Reguladora de Servicios Publicos de Estado de Rio de Janeiro (“ASEP”) has undertaken a review of the gas distribution contracts for the state of Rio de Janeiro.  </w:t>
      </w:r>
      <w:r>
        <w:rPr>
          <w:b/>
        </w:rPr>
        <w:t>[Company to confirm whether this matter should be listed on this schedule and the accuracy of this description.]</w:t>
      </w:r>
    </w:p>
    <w:p>
      <w:pPr>
        <w:pStyle w:val="Normal"/>
        <w:ind w:hanging="720" w:start="720" w:end="0"/>
        <w:rPr/>
      </w:pPr>
      <w:r>
        <w:rPr/>
      </w:r>
    </w:p>
    <w:p>
      <w:pPr>
        <w:pStyle w:val="Normal"/>
        <w:ind w:hanging="720" w:start="720" w:end="0"/>
        <w:rPr/>
      </w:pPr>
      <w:r>
        <w:rPr/>
        <w:t>2.</w:t>
        <w:tab/>
        <w:t xml:space="preserve">After receiving certain safety complaints, in November 1999, ASEP ordered CEG to suspend its manufactured gas conversion program, and ASEP began a review of such program.  </w:t>
      </w:r>
      <w:r>
        <w:rPr>
          <w:b/>
        </w:rPr>
        <w:t>[Company to confirm whether this matter should be listed on this schedule and the accuracy of this description.]</w:t>
      </w:r>
    </w:p>
    <w:p>
      <w:pPr>
        <w:pStyle w:val="Normal"/>
        <w:ind w:hanging="720" w:start="720" w:end="0"/>
        <w:rPr/>
      </w:pPr>
      <w:r>
        <w:rPr/>
      </w:r>
    </w:p>
    <w:p>
      <w:pPr>
        <w:pStyle w:val="Normal"/>
        <w:ind w:hanging="720" w:start="720" w:end="0"/>
        <w:rPr/>
      </w:pPr>
      <w:r>
        <w:rPr/>
        <w:t>3.</w:t>
        <w:tab/>
        <w:t xml:space="preserve">GAISUS </w:t>
      </w:r>
      <w:r>
        <w:rPr>
          <w:b/>
        </w:rPr>
        <w:t>[Company to provide definition.]</w:t>
      </w:r>
      <w:r>
        <w:rPr/>
        <w:t xml:space="preserve">, CEG’s pension plan, is under funded and under government intervention.  </w:t>
      </w:r>
      <w:r>
        <w:rPr>
          <w:b/>
        </w:rPr>
        <w:t>[Maximum potential liability is estimated at $38.4 million, of which 25.383% would be attributable to Enron based upon its ownership interest in CEG.] [Company to confirm whether this matter should be listed on this schedule and the accuracy of this description.]</w:t>
      </w:r>
    </w:p>
    <w:p>
      <w:pPr>
        <w:pStyle w:val="Normal"/>
        <w:ind w:hanging="720" w:start="720" w:end="0"/>
        <w:rPr/>
      </w:pPr>
      <w:r>
        <w:rPr/>
      </w:r>
    </w:p>
    <w:p>
      <w:pPr>
        <w:pStyle w:val="Normal"/>
        <w:ind w:hanging="720" w:start="720" w:end="0"/>
        <w:rPr/>
      </w:pPr>
      <w:r>
        <w:rPr/>
        <w:t>4.</w:t>
        <w:tab/>
      </w:r>
      <w:r>
        <w:rPr>
          <w:b/>
        </w:rPr>
        <w:t>[SDE is conditioning final approval of the Atos de Concentracao on the fiscal separation of gas commercialization and distribution within six months and a legal separation within one year.]  [Company to confirm whether this matter should be listed on this schedule and the accuracy of this description.]</w:t>
      </w:r>
    </w:p>
    <w:p>
      <w:pPr>
        <w:pStyle w:val="Normal"/>
        <w:ind w:hanging="720" w:start="720" w:end="0"/>
        <w:rPr>
          <w:b/>
        </w:rPr>
      </w:pPr>
      <w:r>
        <w:rPr>
          <w:b/>
        </w:rPr>
      </w:r>
    </w:p>
    <w:p>
      <w:pPr>
        <w:pStyle w:val="Normal"/>
        <w:ind w:hanging="720" w:start="720" w:end="0"/>
        <w:rPr/>
      </w:pPr>
      <w:r>
        <w:rPr/>
      </w:r>
      <w:r>
        <w:br w:type="page"/>
      </w:r>
    </w:p>
    <w:p>
      <w:pPr>
        <w:pStyle w:val="Normal"/>
        <w:ind w:hanging="720" w:start="720" w:end="0"/>
        <w:jc w:val="center"/>
        <w:rPr>
          <w:b/>
        </w:rPr>
      </w:pPr>
      <w:r>
        <w:rPr>
          <w:b/>
        </w:rPr>
        <w:t>SCHEDULE 5.14(a)</w:t>
      </w:r>
    </w:p>
    <w:p>
      <w:pPr>
        <w:pStyle w:val="Normal"/>
        <w:ind w:hanging="720" w:start="720" w:end="0"/>
        <w:jc w:val="center"/>
        <w:rPr>
          <w:b/>
        </w:rPr>
      </w:pPr>
      <w:r>
        <w:rPr>
          <w:b/>
        </w:rPr>
      </w:r>
    </w:p>
    <w:p>
      <w:pPr>
        <w:pStyle w:val="Normal"/>
        <w:ind w:hanging="720" w:start="720" w:end="0"/>
        <w:jc w:val="center"/>
        <w:rPr>
          <w:b/>
        </w:rPr>
      </w:pPr>
      <w:r>
        <w:rPr>
          <w:b/>
        </w:rPr>
        <w:t>MATERIAL ADVERSE CHANGES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None.</w:t>
      </w:r>
    </w:p>
    <w:p>
      <w:pPr>
        <w:pStyle w:val="Normal"/>
        <w:ind w:hanging="720" w:start="720" w:end="0"/>
        <w:rPr/>
      </w:pPr>
      <w:r>
        <w:rPr/>
      </w:r>
      <w:r>
        <w:br w:type="page"/>
      </w:r>
    </w:p>
    <w:p>
      <w:pPr>
        <w:pStyle w:val="Normal"/>
        <w:ind w:hanging="720" w:start="720" w:end="0"/>
        <w:jc w:val="center"/>
        <w:rPr>
          <w:b/>
        </w:rPr>
      </w:pPr>
      <w:r>
        <w:rPr>
          <w:b/>
        </w:rPr>
        <w:t>SCHEDULE 5.14(b)</w:t>
      </w:r>
    </w:p>
    <w:p>
      <w:pPr>
        <w:pStyle w:val="Normal"/>
        <w:ind w:hanging="720" w:start="720" w:end="0"/>
        <w:jc w:val="center"/>
        <w:rPr>
          <w:b/>
        </w:rPr>
      </w:pPr>
      <w:r>
        <w:rPr>
          <w:b/>
        </w:rPr>
      </w:r>
    </w:p>
    <w:p>
      <w:pPr>
        <w:pStyle w:val="Normal"/>
        <w:ind w:hanging="720" w:start="720" w:end="0"/>
        <w:jc w:val="center"/>
        <w:rPr>
          <w:b/>
        </w:rPr>
      </w:pPr>
      <w:r>
        <w:rPr>
          <w:b/>
        </w:rPr>
        <w:t>MATERIAL ADVERSE CHANGES</w:t>
      </w:r>
    </w:p>
    <w:p>
      <w:pPr>
        <w:pStyle w:val="Normal"/>
        <w:ind w:hanging="720" w:start="720" w:end="0"/>
        <w:rPr>
          <w:b/>
        </w:rPr>
      </w:pPr>
      <w:r>
        <w:rPr>
          <w:b/>
        </w:rPr>
      </w:r>
    </w:p>
    <w:p>
      <w:pPr>
        <w:pStyle w:val="Normal"/>
        <w:ind w:hanging="720" w:start="720" w:end="0"/>
        <w:rPr>
          <w:b/>
        </w:rPr>
      </w:pPr>
      <w:r>
        <w:rPr>
          <w:b/>
        </w:rPr>
      </w:r>
    </w:p>
    <w:p>
      <w:pPr>
        <w:pStyle w:val="Normal"/>
        <w:ind w:hanging="720" w:start="720" w:end="0"/>
        <w:rPr/>
      </w:pPr>
      <w:r>
        <w:rPr/>
        <w:t>1.</w:t>
        <w:tab/>
        <w:t xml:space="preserve">In March 2000, the Company borrowed $27,777,777 from the National Development Bank </w:t>
      </w:r>
      <w:r>
        <w:rPr>
          <w:b/>
        </w:rPr>
        <w:t>[of Brazil?]</w:t>
      </w:r>
      <w:r>
        <w:rPr/>
        <w:t xml:space="preserve">.  </w:t>
      </w:r>
      <w:r>
        <w:rPr>
          <w:b/>
        </w:rPr>
        <w:t>[Company to confirm the accuracy and sufficiency of this disclosure.]</w:t>
      </w:r>
    </w:p>
    <w:p>
      <w:pPr>
        <w:pStyle w:val="Normal"/>
        <w:ind w:hanging="720" w:start="720" w:end="0"/>
        <w:rPr/>
      </w:pPr>
      <w:r>
        <w:rPr/>
      </w:r>
    </w:p>
    <w:p>
      <w:pPr>
        <w:pStyle w:val="Normal"/>
        <w:ind w:hanging="720" w:start="720" w:end="0"/>
        <w:rPr/>
      </w:pPr>
      <w:r>
        <w:rPr/>
      </w:r>
      <w:r>
        <w:br w:type="page"/>
      </w:r>
    </w:p>
    <w:p>
      <w:pPr>
        <w:pStyle w:val="Normal"/>
        <w:ind w:hanging="720" w:start="720" w:end="0"/>
        <w:jc w:val="center"/>
        <w:rPr>
          <w:b/>
        </w:rPr>
      </w:pPr>
      <w:r>
        <w:rPr>
          <w:b/>
        </w:rPr>
        <w:t>SCHEDULE 7.02(d)</w:t>
      </w:r>
    </w:p>
    <w:p>
      <w:pPr>
        <w:pStyle w:val="Normal"/>
        <w:ind w:hanging="720" w:start="720" w:end="0"/>
        <w:jc w:val="center"/>
        <w:rPr>
          <w:b/>
        </w:rPr>
      </w:pPr>
      <w:r>
        <w:rPr>
          <w:b/>
        </w:rPr>
      </w:r>
    </w:p>
    <w:p>
      <w:pPr>
        <w:pStyle w:val="Normal"/>
        <w:ind w:hanging="720" w:start="720" w:end="0"/>
        <w:jc w:val="center"/>
        <w:rPr>
          <w:b/>
        </w:rPr>
      </w:pPr>
      <w:r>
        <w:rPr>
          <w:b/>
        </w:rPr>
        <w:t>CAPITAL BUDGETS &amp; DEVELOPMENT BUDGETS</w:t>
      </w:r>
    </w:p>
    <w:p>
      <w:pPr>
        <w:pStyle w:val="Normal"/>
        <w:ind w:hanging="720" w:start="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lang w:val="en-CA"/>
        </w:rPr>
      </w:pPr>
      <w:r>
        <w:rPr>
          <w:b/>
          <w:lang w:val="en-CA"/>
        </w:rPr>
        <w:object w:dxaOrig="4563" w:dyaOrig="921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position:absolute;margin-left:115.2pt;margin-top:14.4pt;width:258.8pt;height:468pt;mso-wrap-distance-left:9.05pt;mso-wrap-distance-right:9.05pt;mso-position-horizontal-relative:text;mso-position-vertical-relative:text" filled="f" o:ole="">
            <v:imagedata r:id="rId35" o:title=""/>
            <w10:wrap type="topAndBottom"/>
          </v:shape>
          <o:OLEObject Type="Embed" ProgID="Excel.Sheet.12" ShapeID="ole_rId34" DrawAspect="Content" ObjectID="_1069096117" r:id="rId34"/>
        </w:objec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r>
      <w:r>
        <w:br w:type="page"/>
      </w:r>
    </w:p>
    <w:p>
      <w:pPr>
        <w:pStyle w:val="Normal"/>
        <w:ind w:hanging="720" w:start="720" w:end="0"/>
        <w:jc w:val="center"/>
        <w:rPr>
          <w:b/>
        </w:rPr>
      </w:pPr>
      <w:r>
        <w:rPr>
          <w:b/>
        </w:rPr>
        <w:t>SCHEDULE 7.05</w:t>
      </w:r>
    </w:p>
    <w:p>
      <w:pPr>
        <w:pStyle w:val="Normal"/>
        <w:ind w:hanging="720" w:start="720" w:end="0"/>
        <w:jc w:val="center"/>
        <w:rPr>
          <w:b/>
        </w:rPr>
      </w:pPr>
      <w:r>
        <w:rPr>
          <w:b/>
        </w:rPr>
      </w:r>
    </w:p>
    <w:p>
      <w:pPr>
        <w:pStyle w:val="Normal"/>
        <w:ind w:hanging="720" w:start="720" w:end="0"/>
        <w:jc w:val="center"/>
        <w:rPr>
          <w:b/>
        </w:rPr>
      </w:pPr>
      <w:r>
        <w:rPr>
          <w:b/>
        </w:rPr>
        <w:t>RELATED PARTY CONTRACTS</w:t>
      </w:r>
    </w:p>
    <w:p>
      <w:pPr>
        <w:pStyle w:val="Normal"/>
        <w:ind w:hanging="720" w:start="720" w:end="0"/>
        <w:rPr>
          <w:b/>
        </w:rPr>
      </w:pPr>
      <w:r>
        <w:rPr>
          <w:b/>
        </w:rPr>
      </w:r>
    </w:p>
    <w:p>
      <w:pPr>
        <w:pStyle w:val="Normal"/>
        <w:ind w:hanging="720" w:start="720" w:end="0"/>
        <w:rPr>
          <w:b/>
        </w:rPr>
      </w:pPr>
      <w:r>
        <w:rPr>
          <w:b/>
        </w:rPr>
      </w:r>
    </w:p>
    <w:p>
      <w:pPr>
        <w:pStyle w:val="Normal"/>
        <w:ind w:hanging="720" w:start="720" w:end="0"/>
        <w:rPr>
          <w:b/>
        </w:rPr>
      </w:pPr>
      <w:r>
        <w:rPr>
          <w:b/>
        </w:rPr>
        <w:t>[To come.]</w:t>
      </w:r>
    </w:p>
    <w:sectPr>
      <w:headerReference w:type="default" r:id="rId36"/>
      <w:headerReference w:type="first" r:id="rId37"/>
      <w:footerReference w:type="default" r:id="rId38"/>
      <w:footerReference w:type="first" r:id="rId39"/>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Houston:284872 v 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Houston:284872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Houston:284872 v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b/>
        </w:rPr>
        <w:t>[Company to confirm translation of “desempulho.”]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 Draft</w:t>
    </w:r>
  </w:p>
  <w:p>
    <w:pPr>
      <w:pStyle w:val="Header"/>
      <w:jc w:val="end"/>
      <w:rPr>
        <w:b/>
      </w:rPr>
    </w:pPr>
    <w:r>
      <w:rPr>
        <w:b/>
      </w:rPr>
      <w:t>7/31/00</w:t>
    </w:r>
  </w:p>
  <w:p>
    <w:pPr>
      <w:pStyle w:val="Header"/>
      <w:jc w:val="end"/>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 Draft</w:t>
    </w:r>
  </w:p>
  <w:p>
    <w:pPr>
      <w:pStyle w:val="Header"/>
      <w:jc w:val="end"/>
      <w:rPr>
        <w:b/>
      </w:rPr>
    </w:pPr>
    <w:r>
      <w:rPr>
        <w:b/>
      </w:rPr>
      <w:t>7/31/00</w:t>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CEG Draft</w:t>
    </w:r>
  </w:p>
  <w:p>
    <w:pPr>
      <w:pStyle w:val="Header"/>
      <w:jc w:val="end"/>
      <w:rPr>
        <w:b/>
      </w:rPr>
    </w:pPr>
    <w:r>
      <w:rPr>
        <w:b/>
      </w:rPr>
      <w:t>7/31/00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jc w:val="star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package" Target="embeddings/oleObject1.xlsx"/><Relationship Id="rId35" Type="http://schemas.openxmlformats.org/officeDocument/2006/relationships/image" Target="media/image1.wmf"/><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footnotes" Target="footnotes.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2000-08-01T01:12:00Z</dcterms:created>
  <dc:creator>Vinson &amp; Elkins L.L.P.</dc:creator>
  <dc:description/>
  <dc:language>en-CA</dc:language>
  <cp:lastModifiedBy>Linda S. DiFeo</cp:lastModifiedBy>
  <cp:lastPrinted>2000-07-31T22:31:00Z</cp:lastPrinted>
  <dcterms:modified xsi:type="dcterms:W3CDTF">2000-08-01T01:12:00Z</dcterms:modified>
  <cp:revision>2</cp:revision>
  <dc:subject/>
  <dc:title>SCHEDULE 5</dc:title>
</cp:coreProperties>
</file>