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CEG and CEG-Rio Divestiture</w:t>
            </w:r>
          </w:p>
          <w:p>
            <w:pPr>
              <w:pStyle w:val="Normal"/>
              <w:ind w:end="792"/>
              <w:rPr/>
            </w:pPr>
            <w:r>
              <w:rPr/>
              <w:t>Counterparty: Petróleo Brasileiro S.A. - Petrobras</w:t>
            </w:r>
          </w:p>
          <w:p>
            <w:pPr>
              <w:pStyle w:val="Normal"/>
              <w:rPr/>
            </w:pPr>
            <w:r>
              <w:rPr/>
              <w:t>Business Unit:  Corporate Development</w:t>
            </w:r>
          </w:p>
          <w:p>
            <w:pPr>
              <w:pStyle w:val="Normal"/>
              <w:rPr/>
            </w:pPr>
            <w:r>
              <w:rPr/>
              <w:t>Business Unit Originator:  Frank Stabler</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April 27, 2001</w:t>
            </w:r>
          </w:p>
          <w:p>
            <w:pPr>
              <w:pStyle w:val="Normal"/>
              <w:ind w:firstLine="90" w:start="-198" w:end="-1095"/>
              <w:rPr/>
            </w:pPr>
            <w:r>
              <w:rPr/>
              <w:t>RAC Analyst:  David Gorte</w:t>
            </w:r>
          </w:p>
          <w:p>
            <w:pPr>
              <w:pStyle w:val="Normal"/>
              <w:ind w:firstLine="90" w:start="-198" w:end="-738"/>
              <w:rPr/>
            </w:pPr>
            <w:r>
              <w:rPr/>
              <w:t>Investment/Transaction Type:  Divestiture of  Equity Interests</w:t>
            </w:r>
          </w:p>
          <w:p>
            <w:pPr>
              <w:pStyle w:val="Normal"/>
              <w:ind w:firstLine="90" w:start="-198" w:end="-738"/>
              <w:rPr/>
            </w:pPr>
            <w:r>
              <w:rPr/>
              <w:t>Capital Funding Source(s):  N/A</w:t>
            </w:r>
          </w:p>
          <w:p>
            <w:pPr>
              <w:pStyle w:val="Normal"/>
              <w:ind w:firstLine="90" w:start="-198" w:end="-738"/>
              <w:rPr/>
            </w:pPr>
            <w:r>
              <w:rPr/>
              <w:t>Expected Signing Date:  April 29, 2001</w:t>
            </w:r>
          </w:p>
          <w:p>
            <w:pPr>
              <w:pStyle w:val="Normal"/>
              <w:ind w:firstLine="90" w:start="-198" w:end="-738"/>
              <w:rPr/>
            </w:pPr>
            <w:r>
              <w:rPr/>
              <w:t>Expected Closing/Funding Date:  July 31,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 xml:space="preserve">Divestiture of Enron’s indirect 25.28% interest in CEG and indirect interest of 33.75% in CEG-Rio, two Brazilian gas local distribution companies for cash sales proceeds of$241.0 million.  In addition, the purchaser, Petroleo Braseiro, S.A., will waive its right of first refusal with respect to the equity interests held by Enron in seven other gas LDCs (the “Gaspart LDCs”) in Brazil; this waiver has been valued by CSFB in the range of $40 million to $60 million. </w:t>
      </w:r>
    </w:p>
    <w:p>
      <w:pPr>
        <w:pStyle w:val="Normal"/>
        <w:ind w:start="360" w:end="-36"/>
        <w:rPr/>
      </w:pPr>
      <w:r>
        <w:rPr/>
        <w:t xml:space="preserve">Initial investment: </w:t>
      </w:r>
    </w:p>
    <w:p>
      <w:pPr>
        <w:pStyle w:val="Normal"/>
        <w:ind w:start="360" w:end="-36"/>
        <w:rPr/>
      </w:pPr>
      <w:r>
        <w:rPr/>
        <w:t>US$266.5 million in July 1997</w:t>
      </w:r>
    </w:p>
    <w:p>
      <w:pPr>
        <w:pStyle w:val="Normal"/>
        <w:ind w:start="360" w:end="-36"/>
        <w:rPr/>
      </w:pPr>
      <w:r>
        <w:rPr/>
        <w:t>(Current Book Basis = US$269.8 million)</w:t>
      </w:r>
    </w:p>
    <w:p>
      <w:pPr>
        <w:pStyle w:val="Normal"/>
        <w:ind w:start="360" w:end="-36"/>
        <w:rPr/>
      </w:pPr>
      <w:r>
        <w:rPr/>
      </w:r>
    </w:p>
    <w:p>
      <w:pPr>
        <w:pStyle w:val="Normal"/>
        <w:jc w:val="both"/>
        <w:rPr>
          <w:color w:val="000000"/>
        </w:rPr>
      </w:pPr>
      <w:r>
        <w:rPr>
          <w:color w:val="000000"/>
        </w:rPr>
      </w:r>
    </w:p>
    <w:p>
      <w:pPr>
        <w:pStyle w:val="Heading2"/>
        <w:widowControl/>
        <w:pBdr>
          <w:top w:val="single" w:sz="8" w:space="1" w:color="000000"/>
        </w:pBdr>
        <w:ind w:hanging="0" w:start="0" w:end="-36"/>
        <w:rPr/>
      </w:pPr>
      <w:r>
        <w:rPr/>
        <w:t xml:space="preserve">TRANSACTION SOURCES AND USES OF FUNDS </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Cash Sale Proceeds</w:t>
            </w:r>
          </w:p>
        </w:tc>
        <w:tc>
          <w:tcPr>
            <w:tcW w:w="1260" w:type="dxa"/>
            <w:tcBorders/>
          </w:tcPr>
          <w:p>
            <w:pPr>
              <w:pStyle w:val="Normal"/>
              <w:jc w:val="end"/>
              <w:rPr/>
            </w:pPr>
            <w:r>
              <w:rPr/>
              <w:t xml:space="preserve">     </w:t>
            </w:r>
            <w:r>
              <w:rPr/>
              <w:t xml:space="preserve">$241MM*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Return of Capital to Enron Corp.</w:t>
            </w:r>
          </w:p>
          <w:p>
            <w:pPr>
              <w:pStyle w:val="Header"/>
              <w:widowControl/>
              <w:tabs>
                <w:tab w:val="clear" w:pos="4320"/>
                <w:tab w:val="clear" w:pos="8640"/>
              </w:tabs>
              <w:rPr/>
            </w:pPr>
            <w:r>
              <w:rPr/>
            </w:r>
          </w:p>
        </w:tc>
        <w:tc>
          <w:tcPr>
            <w:tcW w:w="1260" w:type="dxa"/>
            <w:tcBorders/>
          </w:tcPr>
          <w:p>
            <w:pPr>
              <w:pStyle w:val="Normal"/>
              <w:jc w:val="end"/>
              <w:rPr/>
            </w:pPr>
            <w:r>
              <w:rPr/>
              <w:t>$241MM*</w:t>
            </w:r>
          </w:p>
          <w:p>
            <w:pPr>
              <w:pStyle w:val="Normal"/>
              <w:jc w:val="end"/>
              <w:rPr/>
            </w:pPr>
            <w:r>
              <w:rPr/>
            </w:r>
          </w:p>
          <w:p>
            <w:pPr>
              <w:pStyle w:val="Normal"/>
              <w:jc w:val="center"/>
              <w:rPr/>
            </w:pPr>
            <w:r>
              <w:rPr/>
            </w:r>
          </w:p>
        </w:tc>
      </w:tr>
      <w:tr>
        <w:trPr/>
        <w:tc>
          <w:tcPr>
            <w:tcW w:w="2160" w:type="dxa"/>
            <w:tcBorders/>
          </w:tcPr>
          <w:p>
            <w:pPr>
              <w:pStyle w:val="Normal"/>
              <w:rPr/>
            </w:pPr>
            <w:r>
              <w:rPr/>
              <w:t>Total</w:t>
            </w:r>
          </w:p>
        </w:tc>
        <w:tc>
          <w:tcPr>
            <w:tcW w:w="1260" w:type="dxa"/>
            <w:tcBorders>
              <w:top w:val="single" w:sz="4" w:space="0" w:color="000000"/>
            </w:tcBorders>
          </w:tcPr>
          <w:p>
            <w:pPr>
              <w:pStyle w:val="Normal"/>
              <w:jc w:val="end"/>
              <w:rPr/>
            </w:pPr>
            <w:r>
              <w:rPr/>
              <w:t>$241MM*</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Total</w:t>
            </w:r>
          </w:p>
        </w:tc>
        <w:tc>
          <w:tcPr>
            <w:tcW w:w="1260" w:type="dxa"/>
            <w:tcBorders>
              <w:top w:val="single" w:sz="4" w:space="0" w:color="000000"/>
            </w:tcBorders>
          </w:tcPr>
          <w:p>
            <w:pPr>
              <w:pStyle w:val="Normal"/>
              <w:jc w:val="end"/>
              <w:rPr/>
            </w:pPr>
            <w:r>
              <w:rPr/>
              <w:t>$241MM*</w:t>
            </w:r>
          </w:p>
        </w:tc>
      </w:tr>
    </w:tbl>
    <w:p>
      <w:pPr>
        <w:pStyle w:val="Heading2"/>
        <w:widowControl/>
        <w:ind w:hanging="0" w:start="0" w:end="-36"/>
        <w:rPr>
          <w:i w:val="false"/>
          <w:i w:val="false"/>
        </w:rPr>
      </w:pPr>
      <w:r>
        <w:rPr>
          <w:i w:val="false"/>
        </w:rPr>
      </w:r>
    </w:p>
    <w:p>
      <w:pPr>
        <w:pStyle w:val="BodyTextIndent2"/>
        <w:rPr/>
      </w:pPr>
      <w:r>
        <w:rPr/>
        <w:t>*This does not reflect the $40 million - $60 million value ascribed to the Petrobras waiver of its rights of first refusal on the Gaspart LDCs.</w:t>
      </w:r>
    </w:p>
    <w:p>
      <w:pPr>
        <w:pStyle w:val="BodyTextIndent2"/>
        <w:rPr/>
      </w:pPr>
      <w:r>
        <w:rPr/>
      </w:r>
    </w:p>
    <w:p>
      <w:pPr>
        <w:pStyle w:val="Heading2"/>
        <w:widowControl/>
        <w:pBdr>
          <w:top w:val="single" w:sz="8" w:space="1" w:color="000000"/>
        </w:pBdr>
        <w:ind w:hanging="0" w:start="0" w:end="-36"/>
        <w:jc w:val="both"/>
        <w:rPr>
          <w:i w:val="false"/>
          <w:i w:val="false"/>
        </w:rPr>
      </w:pPr>
      <w:r>
        <w:rPr>
          <w:i w:val="false"/>
        </w:rPr>
        <w:t>DEAL SUMMARY</w:t>
      </w:r>
    </w:p>
    <w:p>
      <w:pPr>
        <w:pStyle w:val="Heading2"/>
        <w:widowControl/>
        <w:pBdr>
          <w:top w:val="single" w:sz="8" w:space="1" w:color="000000"/>
        </w:pBdr>
        <w:ind w:hanging="0" w:start="0" w:end="-36"/>
        <w:jc w:val="both"/>
        <w:rPr>
          <w:b w:val="false"/>
          <w:i w:val="false"/>
          <w:i w:val="false"/>
        </w:rPr>
      </w:pPr>
      <w:r>
        <w:rPr>
          <w:b w:val="false"/>
          <w:i w:val="false"/>
        </w:rPr>
      </w:r>
    </w:p>
    <w:p>
      <w:pPr>
        <w:pStyle w:val="Heading2"/>
        <w:widowControl/>
        <w:pBdr>
          <w:top w:val="single" w:sz="8" w:space="1" w:color="000000"/>
        </w:pBdr>
        <w:ind w:hanging="0" w:start="0" w:end="-36"/>
        <w:jc w:val="both"/>
        <w:rPr>
          <w:b w:val="false"/>
          <w:i w:val="false"/>
          <w:i w:val="false"/>
        </w:rPr>
      </w:pPr>
      <w:r>
        <w:rPr>
          <w:b w:val="false"/>
          <w:i w:val="false"/>
        </w:rPr>
        <w:t>Enron Global Assets proposes to sell 100% of Enron International Brazil 1997 Ltd. (“EIB”) and Enron International Brazil Gas Holdings Ltd. (“EIBGH”), each being Cayman Islands companies and owning together, through various holding companies, the interests described below:</w:t>
      </w:r>
    </w:p>
    <w:p>
      <w:pPr>
        <w:pStyle w:val="Heading2"/>
        <w:widowControl/>
        <w:pBdr>
          <w:top w:val="single" w:sz="8" w:space="1" w:color="000000"/>
        </w:pBdr>
        <w:ind w:hanging="0" w:start="0" w:end="-36"/>
        <w:jc w:val="both"/>
        <w:rPr>
          <w:b w:val="false"/>
          <w:i w:val="false"/>
          <w:i w:val="false"/>
          <w:color w:val="000000"/>
        </w:rPr>
      </w:pPr>
      <w:r>
        <w:rPr>
          <w:b w:val="false"/>
          <w:i w:val="false"/>
          <w:color w:val="000000"/>
        </w:rPr>
      </w:r>
    </w:p>
    <w:p>
      <w:pPr>
        <w:pStyle w:val="Heading2"/>
        <w:widowControl/>
        <w:pBdr>
          <w:top w:val="single" w:sz="8" w:space="1" w:color="000000"/>
        </w:pBdr>
        <w:ind w:hanging="0" w:start="0" w:end="-36"/>
        <w:jc w:val="both"/>
        <w:rPr/>
      </w:pPr>
      <w:r>
        <w:rPr>
          <w:b w:val="false"/>
          <w:i w:val="false"/>
          <w:color w:val="000000"/>
        </w:rPr>
        <w:t xml:space="preserve">EIB and EIBGH  own </w:t>
      </w:r>
      <w:r>
        <w:rPr>
          <w:b w:val="false"/>
          <w:i w:val="false"/>
        </w:rPr>
        <w:t>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Participacoes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pPr>
      <w:r>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currently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pPr>
      <w:r>
        <w:rPr/>
        <w:t>In addition, Petrobras will waive its right of first refusal with respect to the Gaspart LDCs.</w:t>
      </w:r>
    </w:p>
    <w:p>
      <w:pPr>
        <w:pStyle w:val="BodyTextIndent2"/>
        <w:rPr/>
      </w:pPr>
      <w:r>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p>
      <w:pPr>
        <w:pStyle w:val="Normal"/>
        <w:rPr/>
      </w:pPr>
      <w:r>
        <w:rPr/>
        <w:t>RAC has valued Enron’s interests in CEG and CEG-Rio using both comparable company and discounted cash flow analyses.  Using a comparable company analysis using EBITDA multiples of six South American and Eurpoean companies, RAC determined the following range of values for CEG and CEG-Rio collectively:</w:t>
      </w:r>
    </w:p>
    <w:p>
      <w:pPr>
        <w:pStyle w:val="Normal"/>
        <w:rPr/>
      </w:pPr>
      <w:r>
        <w:rPr/>
      </w:r>
    </w:p>
    <w:p>
      <w:pPr>
        <w:pStyle w:val="Normal"/>
        <w:ind w:firstLine="720" w:start="720" w:end="0"/>
        <w:rPr/>
      </w:pPr>
      <w:r>
        <w:rPr/>
      </w:r>
    </w:p>
    <w:p>
      <w:pPr>
        <w:pStyle w:val="Normal"/>
        <w:jc w:val="both"/>
        <w:rPr>
          <w:color w:val="000000"/>
        </w:rPr>
      </w:pPr>
      <w:r>
        <w:rPr>
          <w:color w:val="000000"/>
        </w:rPr>
        <w:tab/>
        <w:tab/>
        <w:t>Maximum (10.8x 2001E EBITDA)</w:t>
        <w:tab/>
        <w:tab/>
        <w:tab/>
        <w:t>$283.2 million</w:t>
      </w:r>
    </w:p>
    <w:p>
      <w:pPr>
        <w:pStyle w:val="Normal"/>
        <w:jc w:val="both"/>
        <w:rPr>
          <w:color w:val="000000"/>
        </w:rPr>
      </w:pPr>
      <w:r>
        <w:rPr>
          <w:color w:val="000000"/>
        </w:rPr>
        <w:tab/>
        <w:tab/>
        <w:t>Mean (6.3x 2001E EBITDA)</w:t>
        <w:tab/>
        <w:tab/>
        <w:tab/>
        <w:t>$160.9 million</w:t>
      </w:r>
    </w:p>
    <w:p>
      <w:pPr>
        <w:pStyle w:val="Normal"/>
        <w:jc w:val="both"/>
        <w:rPr>
          <w:color w:val="000000"/>
        </w:rPr>
      </w:pPr>
      <w:r>
        <w:rPr>
          <w:color w:val="000000"/>
        </w:rPr>
        <w:tab/>
        <w:tab/>
        <w:t>Minimum (4.5x 2001E EBITDA)</w:t>
        <w:tab/>
        <w:tab/>
        <w:tab/>
        <w:t>$111.7 million</w:t>
      </w:r>
    </w:p>
    <w:p>
      <w:pPr>
        <w:pStyle w:val="Normal"/>
        <w:jc w:val="both"/>
        <w:rPr>
          <w:color w:val="000000"/>
        </w:rPr>
      </w:pPr>
      <w:r>
        <w:rPr>
          <w:color w:val="000000"/>
        </w:rPr>
      </w:r>
    </w:p>
    <w:p>
      <w:pPr>
        <w:pStyle w:val="Normal"/>
        <w:jc w:val="both"/>
        <w:rPr>
          <w:color w:val="000000"/>
        </w:rPr>
      </w:pPr>
      <w:r>
        <w:rPr>
          <w:color w:val="000000"/>
        </w:rPr>
        <w:t>Based upon this comparable company analysis, RAC considers the value to be received by Enron in cash of $241 million, or 9.2x 2001E EBITDA, to be attractive since only one of the comparable companies, Comgas, another Brazilian LDC, but one considered to have significantly greater growth prospects than CEG and CEG-Rio, had a higer EBITDA multiple.  Incorporating the total consideration received and valuing the Petrobras Gaspart right of first refusal waiver at the midpoint of the CSFB range of $50 million, the consideration received is a very attractive 11.1x 2001E DEG/CEG-Rio EBITDA.</w:t>
      </w:r>
    </w:p>
    <w:p>
      <w:pPr>
        <w:pStyle w:val="Normal"/>
        <w:jc w:val="both"/>
        <w:rPr>
          <w:color w:val="000000"/>
        </w:rPr>
      </w:pPr>
      <w:r>
        <w:rPr>
          <w:color w:val="000000"/>
        </w:rPr>
      </w:r>
    </w:p>
    <w:p>
      <w:pPr>
        <w:pStyle w:val="Normal"/>
        <w:jc w:val="both"/>
        <w:rPr>
          <w:color w:val="000000"/>
        </w:rPr>
      </w:pPr>
      <w:r>
        <w:rPr>
          <w:color w:val="000000"/>
        </w:rPr>
        <w:t xml:space="preserve">A probabilistic discounted cash flow valuation of CEG and CEG-Rio, using a 20.1% discount rate, was also run by RAC.  The valuation of $121.0 million calculated using this method approximates 50% of the cash proceeds and 42% of the total proceeds, again using the midpoint of the CSFB range for the Petrobras Gaspart right of first refusal waiver. </w:t>
      </w:r>
    </w:p>
    <w:p>
      <w:pPr>
        <w:pStyle w:val="Normal"/>
        <w:jc w:val="both"/>
        <w:rPr>
          <w:color w:val="000000"/>
        </w:rPr>
      </w:pPr>
      <w:r>
        <w:rPr>
          <w:color w:val="000000"/>
        </w:rPr>
      </w:r>
    </w:p>
    <w:p>
      <w:pPr>
        <w:pStyle w:val="Normal"/>
        <w:jc w:val="both"/>
        <w:rPr>
          <w:color w:val="000000"/>
        </w:rPr>
      </w:pPr>
      <w:r>
        <w:rPr>
          <w:color w:val="000000"/>
        </w:rPr>
        <w:t>As of December 31, 2000 Enron’s net book equity position in CEG and CEG-Rio (before currency translation adjustment “CTA”) is $269.8 million, as detailed below:</w:t>
      </w:r>
    </w:p>
    <w:p>
      <w:pPr>
        <w:pStyle w:val="Normal"/>
        <w:jc w:val="both"/>
        <w:rPr>
          <w:color w:val="000000"/>
        </w:rPr>
      </w:pPr>
      <w:r>
        <w:rPr>
          <w:color w:val="000000"/>
        </w:rPr>
      </w:r>
    </w:p>
    <w:p>
      <w:pPr>
        <w:pStyle w:val="Normal"/>
        <w:rPr/>
      </w:pPr>
      <w:r>
        <w:rPr/>
        <w:t>Initial Investment</w:t>
        <w:tab/>
        <w:tab/>
        <w:tab/>
        <w:tab/>
        <w:tab/>
        <w:t xml:space="preserve">US$266,549,000 </w:t>
      </w:r>
    </w:p>
    <w:p>
      <w:pPr>
        <w:pStyle w:val="Normal"/>
        <w:rPr/>
      </w:pPr>
      <w:r>
        <w:rPr/>
        <w:t>Equity Earnings</w:t>
        <w:tab/>
        <w:tab/>
        <w:tab/>
        <w:tab/>
        <w:tab/>
        <w:t xml:space="preserve">US$    6,427,000 </w:t>
      </w:r>
    </w:p>
    <w:p>
      <w:pPr>
        <w:pStyle w:val="Normal"/>
        <w:rPr/>
      </w:pPr>
      <w:r>
        <w:rPr/>
        <w:t>Less Goodwill Amortization</w:t>
        <w:tab/>
        <w:tab/>
        <w:tab/>
      </w:r>
      <w:r>
        <w:rPr>
          <w:u w:val="single"/>
        </w:rPr>
        <w:t>US$    3,134,000</w:t>
      </w:r>
    </w:p>
    <w:p>
      <w:pPr>
        <w:pStyle w:val="Header"/>
        <w:widowControl/>
        <w:tabs>
          <w:tab w:val="clear" w:pos="4320"/>
          <w:tab w:val="clear" w:pos="8640"/>
        </w:tabs>
        <w:rPr/>
      </w:pPr>
      <w:r>
        <w:rPr/>
        <w:t xml:space="preserve">  </w:t>
      </w:r>
      <w:r>
        <w:rPr/>
        <w:t>Total Equity before CTA</w:t>
        <w:tab/>
        <w:tab/>
        <w:tab/>
        <w:tab/>
        <w:t>US$269,842,000</w:t>
        <w:tab/>
      </w:r>
    </w:p>
    <w:p>
      <w:pPr>
        <w:pStyle w:val="Normal"/>
        <w:rPr/>
      </w:pPr>
      <w:r>
        <w:rPr/>
        <w:t>Cumulative Translation Adjustment</w:t>
        <w:tab/>
        <w:tab/>
        <w:tab/>
      </w:r>
      <w:r>
        <w:rPr>
          <w:u w:val="single"/>
        </w:rPr>
        <w:t>US$118,136,000</w:t>
      </w:r>
    </w:p>
    <w:p>
      <w:pPr>
        <w:pStyle w:val="Heading6"/>
        <w:ind w:hanging="0" w:start="0"/>
        <w:rPr>
          <w:b w:val="false"/>
        </w:rPr>
      </w:pPr>
      <w:r>
        <w:rPr>
          <w:b w:val="false"/>
        </w:rPr>
        <w:t xml:space="preserve">  </w:t>
      </w:r>
      <w:r>
        <w:rPr>
          <w:b w:val="false"/>
        </w:rPr>
        <w:t>Total Equity, net of CTA</w:t>
        <w:tab/>
        <w:tab/>
        <w:tab/>
        <w:tab/>
        <w:t>US$151,706,000</w:t>
      </w:r>
    </w:p>
    <w:p>
      <w:pPr>
        <w:pStyle w:val="Normal"/>
        <w:jc w:val="both"/>
        <w:rPr>
          <w:b/>
          <w:color w:val="000000"/>
        </w:rPr>
      </w:pPr>
      <w:r>
        <w:rPr>
          <w:b/>
          <w:color w:val="000000"/>
        </w:rPr>
      </w:r>
    </w:p>
    <w:p>
      <w:pPr>
        <w:pStyle w:val="Normal"/>
        <w:rPr/>
      </w:pPr>
      <w:r>
        <w:rPr/>
        <w:t>The sale of CEG and CEG-Rio will generate a pre-tax accounting loss</w:t>
      </w:r>
      <w:r>
        <w:rPr>
          <w:b/>
        </w:rPr>
        <w:t xml:space="preserve"> </w:t>
      </w:r>
      <w:r>
        <w:rPr/>
        <w:t>of approximately US$28.8 million.  At the time of the initial purchase of CEG and CEG-Rio by Enron and its Spanish partners, Gas Natural, Iberdrola and Pluspetrol (the “Spanish Parties”) in July 1997, the Brazilian Real/U.S. Dollar exchange rate was R$1.08 per US$1.  Since that time, there has been a significant devaluation (approximately 83%) and the Brazilian Real exchange rate is currently R$1.975 per US$1.  This devaluation has had a negative impact on the value and financial performance of both CEG and CEG-Rio in US Dollar terms.</w:t>
      </w:r>
    </w:p>
    <w:p>
      <w:pPr>
        <w:pStyle w:val="Normal"/>
        <w:rPr/>
      </w:pPr>
      <w:r>
        <w:rPr/>
      </w:r>
    </w:p>
    <w:p>
      <w:pPr>
        <w:pStyle w:val="Normal"/>
        <w:rPr>
          <w:color w:val="000000"/>
        </w:rPr>
      </w:pPr>
      <w:r>
        <w:rPr>
          <w:color w:val="000000"/>
        </w:rPr>
        <w:t>As part of the transaction Petrobras has committed at the closing to relinquish its rights of first refusal over Enron’s shares in the seven Gaspart Gas LDCs as well as its commitment to not interfere in Enron’s process regarding the Gaspart companies (the “Gaspart Waiver”).   CS First Boston has provided an opinion that indicates a value range of US$40 to 60 million for the relinquishment of these rights.</w:t>
      </w:r>
    </w:p>
    <w:p>
      <w:pPr>
        <w:pStyle w:val="Normal"/>
        <w:rPr>
          <w:color w:val="000000"/>
        </w:rPr>
      </w:pPr>
      <w:r>
        <w:rPr>
          <w:color w:val="000000"/>
        </w:rPr>
      </w:r>
    </w:p>
    <w:p>
      <w:pPr>
        <w:pStyle w:val="Heading2"/>
        <w:widowControl/>
        <w:pBdr>
          <w:top w:val="single" w:sz="8" w:space="1" w:color="000000"/>
        </w:pBdr>
        <w:ind w:hanging="0" w:start="0" w:end="-36"/>
        <w:jc w:val="both"/>
        <w:rPr>
          <w:i w:val="false"/>
          <w:i w:val="false"/>
        </w:rPr>
      </w:pPr>
      <w:r>
        <w:rPr>
          <w:i w:val="false"/>
        </w:rPr>
        <w:t>DEAL CONDITIONS</w:t>
      </w:r>
    </w:p>
    <w:p>
      <w:pPr>
        <w:pStyle w:val="Normal"/>
        <w:jc w:val="both"/>
        <w:rPr>
          <w:i/>
          <w:i/>
          <w:color w:val="000000"/>
        </w:rPr>
      </w:pPr>
      <w:r>
        <w:rPr>
          <w:i/>
          <w:color w:val="000000"/>
        </w:rPr>
      </w:r>
    </w:p>
    <w:p>
      <w:pPr>
        <w:pStyle w:val="Normal"/>
        <w:jc w:val="both"/>
        <w:rPr>
          <w:color w:val="000000"/>
        </w:rPr>
      </w:pPr>
      <w:r>
        <w:rPr>
          <w:color w:val="000000"/>
        </w:rPr>
        <w:t>The sale transaction is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certain provisions of the participation agreement and annexes thereto between Enron and the Spanish Parties (“PA Provisions”), the Spanish Parties claim rights of first refusal with respect to the sale of Enron’s interests in CEG and CEG-Rio. Enron disputes this allegation.  In order to mitigate potential claims by the Spanish Parties, however, following execution of the Petrobras purchase and sale agreement (the “PSA”), the PSA gives Enron 40 business days in which to offer the same interests to the Spanish Parties on any terms and conditions Enron chooses. During this 40-day period, if Enron reaches an agreement to sell its interests to any or all of the Spanish Parties, or if any of the Spanish Parties file a suit or action challenging the sale to Petrobras, Enron has the right to terminate the PSA.  If not, Enron will be required at the end of that 40-day period, subject to the other terms of the PSA, to close with Petrobras and indemnify Petrobras and its designees (under the “Indemnity Agreement” referred to below) for claims asserted by the Spanish Parties under the PA Provisions. (See more detailed discussion in Risk Matrix).</w:t>
      </w:r>
    </w:p>
    <w:p>
      <w:pPr>
        <w:pStyle w:val="Normal"/>
        <w:jc w:val="both"/>
        <w:rPr>
          <w:color w:val="000000"/>
        </w:rPr>
      </w:pPr>
      <w:r>
        <w:rPr>
          <w:color w:val="000000"/>
        </w:rPr>
      </w:r>
    </w:p>
    <w:p>
      <w:pPr>
        <w:pStyle w:val="Normal"/>
        <w:jc w:val="both"/>
        <w:rPr/>
      </w:pPr>
      <w:r>
        <w:rPr>
          <w:color w:val="000000"/>
        </w:rPr>
        <w:t xml:space="preserve">Enron intends to offer to the Spanish Parties the right to purchase the same interests for the same consideration offered by Petrobras under the PSA; </w:t>
      </w:r>
      <w:r>
        <w:rPr>
          <w:i/>
          <w:color w:val="000000"/>
        </w:rPr>
        <w:t>i.e.</w:t>
      </w:r>
      <w:r>
        <w:rPr>
          <w:color w:val="000000"/>
        </w:rPr>
        <w:t xml:space="preserve"> $241 million cash plus Enron’s valuation of the Gaspart Waiver which, supported by a CS First Boston opinion, will be designated at not more than $50 million. This offer will be made on execution of the PSA and is currently expected to be held open for 21 days. Concurrently, Enron and Petrobras will continue to cooperate to clear the remaining conditions to their transaction, the principal conditions being the Reorganization, estimated by local counsel to be completed within 100 days following the date of execution, and approval by ASEP (the local regulatory agency).  The PSA provides for an outside termination date of December 31, 2001, by which date all remaining closing conditions must have been satisfied or waived.</w:t>
      </w:r>
    </w:p>
    <w:p>
      <w:pPr>
        <w:pStyle w:val="Normal"/>
        <w:jc w:val="both"/>
        <w:rPr>
          <w:color w:val="000000"/>
        </w:rPr>
      </w:pPr>
      <w:r>
        <w:rPr>
          <w:color w:val="000000"/>
        </w:rPr>
        <w:t xml:space="preserve">  </w:t>
      </w:r>
    </w:p>
    <w:p>
      <w:pPr>
        <w:pStyle w:val="Normal"/>
        <w:jc w:val="both"/>
        <w:rPr>
          <w:color w:val="000000"/>
        </w:rPr>
      </w:pPr>
      <w:r>
        <w:rPr>
          <w:color w:val="000000"/>
        </w:rPr>
        <w:t xml:space="preserve">To avoid renationalization issues relating to Petrobras and other structuring concerns, EIB and EIBGH will enter into purchase agreements providing for the transfer following closing under the PSA of certain interests to two other acquiring parties designated by Petrobras, Petros (the Petrobras employee pension fund) and Termogas (a subsidiary of an unrelated, privately-owned Brazilian entity). Under the PSA, Petrobras remains responsible for making payment of the full purchase price in US Dollars to Enron outside of Brazil. </w:t>
      </w:r>
    </w:p>
    <w:p>
      <w:pPr>
        <w:pStyle w:val="Normal"/>
        <w:jc w:val="both"/>
        <w:rPr>
          <w:color w:val="000000"/>
        </w:rPr>
      </w:pPr>
      <w:r>
        <w:rPr>
          <w:color w:val="000000"/>
        </w:rPr>
      </w:r>
    </w:p>
    <w:p>
      <w:pPr>
        <w:pStyle w:val="Normal"/>
        <w:jc w:val="both"/>
        <w:rPr>
          <w:b/>
          <w:color w:val="000000"/>
        </w:rPr>
      </w:pPr>
      <w:r>
        <w:rPr>
          <w:b/>
          <w:color w:val="000000"/>
        </w:rPr>
        <w:t>Terms of the Sale:</w:t>
      </w:r>
    </w:p>
    <w:p>
      <w:pPr>
        <w:pStyle w:val="Normal"/>
        <w:jc w:val="both"/>
        <w:rPr>
          <w:b/>
          <w:color w:val="000000"/>
        </w:rPr>
      </w:pPr>
      <w:r>
        <w:rPr>
          <w:b/>
          <w:color w:val="000000"/>
        </w:rPr>
      </w:r>
    </w:p>
    <w:p>
      <w:pPr>
        <w:pStyle w:val="Normal"/>
        <w:jc w:val="both"/>
        <w:rPr>
          <w:color w:val="000000"/>
        </w:rPr>
      </w:pPr>
      <w:r>
        <w:rPr>
          <w:color w:val="000000"/>
        </w:rPr>
        <w:t xml:space="preserve">The offer is for $241 million in cash (for Enron’s interests in both CEG and CEG-Rio) with a commitment by Petrobras to waive its rights of first refusal in the sale of the Gaspart LDCs and to not interfere in Enron’s sale process for the Gaspart Companies.  </w:t>
      </w:r>
    </w:p>
    <w:p>
      <w:pPr>
        <w:pStyle w:val="Normal"/>
        <w:jc w:val="both"/>
        <w:rPr>
          <w:b/>
          <w:color w:val="000000"/>
        </w:rPr>
      </w:pPr>
      <w:r>
        <w:rPr>
          <w:b/>
          <w:color w:val="000000"/>
        </w:rPr>
      </w:r>
    </w:p>
    <w:p>
      <w:pPr>
        <w:pStyle w:val="Normal"/>
        <w:jc w:val="both"/>
        <w:rPr>
          <w:b/>
          <w:color w:val="000000"/>
        </w:rPr>
      </w:pPr>
      <w:r>
        <w:rPr>
          <w:b/>
          <w:color w:val="000000"/>
        </w:rPr>
        <w:t>Transaction Rationale:</w:t>
      </w:r>
    </w:p>
    <w:p>
      <w:pPr>
        <w:pStyle w:val="Normal"/>
        <w:jc w:val="both"/>
        <w:rPr>
          <w:b/>
          <w:color w:val="000000"/>
        </w:rPr>
      </w:pPr>
      <w:r>
        <w:rPr>
          <w:b/>
          <w:color w:val="000000"/>
        </w:rPr>
      </w:r>
    </w:p>
    <w:p>
      <w:pPr>
        <w:pStyle w:val="Normal"/>
        <w:spacing w:lineRule="atLeast" w:line="240"/>
        <w:jc w:val="both"/>
        <w:rPr>
          <w:color w:val="000000"/>
        </w:rPr>
      </w:pPr>
      <w:r>
        <w:rPr>
          <w:color w:val="000000"/>
        </w:rPr>
        <w:t>Enron participated in the purchase of CEG and CEG-Rio to develop a significant vertically integrated position in Brazil’s energy chain.  Based on current market conditions, Enron no longer considers it necessary to own Gas LDCs to pursue its interests in Brazil.  A sale of CEG and CEG-Rio to Petrobras combined with the Gaspart Waiver would be favorable to the overall sale process.</w:t>
      </w:r>
    </w:p>
    <w:p>
      <w:pPr>
        <w:pStyle w:val="Normal"/>
        <w:jc w:val="both"/>
        <w:rPr>
          <w:color w:val="000000"/>
        </w:rPr>
      </w:pPr>
      <w:r>
        <w:rPr>
          <w:color w:val="000000"/>
        </w:rPr>
      </w:r>
    </w:p>
    <w:p>
      <w:pPr>
        <w:pStyle w:val="Normal"/>
        <w:jc w:val="both"/>
        <w:rPr>
          <w:color w:val="000000"/>
        </w:rPr>
      </w:pPr>
      <w:r>
        <w:rPr>
          <w:color w:val="000000"/>
        </w:rPr>
        <w:t>GAAP Earnings Calculation:</w:t>
      </w:r>
    </w:p>
    <w:p>
      <w:pPr>
        <w:pStyle w:val="Normal"/>
        <w:jc w:val="both"/>
        <w:rPr>
          <w:color w:val="000000"/>
        </w:rPr>
      </w:pPr>
      <w:r>
        <w:rPr>
          <w:color w:val="000000"/>
        </w:rPr>
      </w:r>
    </w:p>
    <w:p>
      <w:pPr>
        <w:pStyle w:val="Normal"/>
        <w:jc w:val="both"/>
        <w:rPr>
          <w:color w:val="000000"/>
        </w:rPr>
      </w:pPr>
      <w:r>
        <w:rPr>
          <w:color w:val="000000"/>
        </w:rPr>
        <w:t>Equity Sale</w:t>
        <w:tab/>
        <w:tab/>
        <w:t>$241.0    million</w:t>
      </w:r>
    </w:p>
    <w:p>
      <w:pPr>
        <w:pStyle w:val="Normal"/>
        <w:jc w:val="both"/>
        <w:rPr>
          <w:color w:val="000000"/>
        </w:rPr>
      </w:pPr>
      <w:r>
        <w:rPr>
          <w:color w:val="000000"/>
        </w:rPr>
        <w:t>Basis</w:t>
        <w:tab/>
        <w:tab/>
        <w:tab/>
        <w:t>$269.8    million</w:t>
      </w:r>
    </w:p>
    <w:p>
      <w:pPr>
        <w:pStyle w:val="Normal"/>
        <w:jc w:val="both"/>
        <w:rPr>
          <w:color w:val="000000"/>
        </w:rPr>
      </w:pPr>
      <w:r>
        <w:rPr>
          <w:color w:val="000000"/>
        </w:rPr>
        <w:t>Loss on Sale (pre-tax)</w:t>
        <w:tab/>
        <w:t>$  28.8    million</w:t>
      </w:r>
    </w:p>
    <w:p>
      <w:pPr>
        <w:pStyle w:val="Normal"/>
        <w:jc w:val="both"/>
        <w:rPr>
          <w:color w:val="000000"/>
          <w:u w:val="single"/>
        </w:rPr>
      </w:pPr>
      <w:r>
        <w:rPr>
          <w:color w:val="000000"/>
        </w:rPr>
        <w:t>Loss on Sale (after-tax)</w:t>
        <w:tab/>
        <w:t>$  21.1    million</w:t>
      </w:r>
    </w:p>
    <w:p>
      <w:pPr>
        <w:pStyle w:val="Normal"/>
        <w:jc w:val="both"/>
        <w:rPr>
          <w:color w:val="000000"/>
          <w:u w:val="single"/>
        </w:rPr>
      </w:pPr>
      <w:r>
        <w:rPr>
          <w:color w:val="000000"/>
          <w:u w:val="single"/>
        </w:rPr>
      </w:r>
    </w:p>
    <w:p>
      <w:pPr>
        <w:pStyle w:val="Normal"/>
        <w:jc w:val="both"/>
        <w:rPr>
          <w:color w:val="000000"/>
        </w:rPr>
      </w:pPr>
      <w:r>
        <w:rPr>
          <w:color w:val="000000"/>
        </w:rPr>
        <w:t>Initial Investment</w:t>
        <w:tab/>
        <w:tab/>
        <w:t>$266.5    million</w:t>
      </w:r>
    </w:p>
    <w:p>
      <w:pPr>
        <w:pStyle w:val="Heading1"/>
        <w:ind w:hanging="0" w:start="0"/>
        <w:rPr>
          <w:color w:val="000000"/>
        </w:rPr>
      </w:pPr>
      <w:r>
        <w:rPr>
          <w:color w:val="000000"/>
        </w:rPr>
      </w:r>
    </w:p>
    <w:p>
      <w:pPr>
        <w:pStyle w:val="Heading1"/>
        <w:pBdr>
          <w:top w:val="single" w:sz="8" w:space="1" w:color="000000"/>
        </w:pBdr>
        <w:ind w:hanging="0" w:start="0" w:end="-36"/>
        <w:rPr/>
      </w:pPr>
      <w:r>
        <w:rPr/>
        <w:t>CASH FLOW SUMMARY</w:t>
      </w:r>
    </w:p>
    <w:p>
      <w:pPr>
        <w:pStyle w:val="Normal"/>
        <w:rPr/>
      </w:pPr>
      <w:r>
        <w:rPr/>
      </w:r>
    </w:p>
    <w:p>
      <w:pPr>
        <w:pStyle w:val="Normal"/>
        <w:rPr/>
      </w:pPr>
      <w:r>
        <w:rPr/>
        <w:t>N/A – The sale is for cash at closing.</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rPr>
          <w:b/>
          <w:i/>
          <w:i/>
        </w:rPr>
      </w:pPr>
      <w:r>
        <w:rPr>
          <w:b/>
          <w:i/>
        </w:rPr>
      </w:r>
    </w:p>
    <w:p>
      <w:pPr>
        <w:pStyle w:val="Normal"/>
        <w:ind w:end="-36"/>
        <w:rPr>
          <w:color w:val="000000"/>
        </w:rPr>
      </w:pPr>
      <w:r>
        <w:rPr>
          <w:color w:val="000000"/>
        </w:rPr>
        <w:t>As well as monetizing Enron’s entire position in CEG and CEG-Rio, this transaction, because of the Petrobras waiver of its first refusal rights with respect to the Gaspart LDCs, is expected to significantly enhance the Enron sale process for these LDCs.  In addition, Global Assets is in discussions with Petrobras regarding the sale of Enron’s interest in Transredes, a Bolivian natural gas and petroleum products pipeline.</w:t>
      </w:r>
    </w:p>
    <w:p>
      <w:pPr>
        <w:pStyle w:val="Normal"/>
        <w:ind w:end="-36"/>
        <w:rPr>
          <w:color w:val="000000"/>
        </w:rPr>
      </w:pPr>
      <w:r>
        <w:rPr>
          <w:color w:val="000000"/>
        </w:rPr>
      </w:r>
    </w:p>
    <w:p>
      <w:pPr>
        <w:pStyle w:val="Normal"/>
        <w:pBdr>
          <w:top w:val="single" w:sz="8" w:space="1" w:color="000000"/>
        </w:pBdr>
        <w:ind w:end="-36"/>
        <w:rPr>
          <w:b/>
        </w:rPr>
      </w:pPr>
      <w:r>
        <w:rPr>
          <w:b/>
        </w:rPr>
        <w:t>RISK MATRIX</w:t>
      </w:r>
    </w:p>
    <w:p>
      <w:pPr>
        <w:pStyle w:val="Normal"/>
        <w:rPr>
          <w:b/>
        </w:rPr>
      </w:pPr>
      <w:r>
        <w:rPr>
          <w:b/>
        </w:rPr>
      </w:r>
    </w:p>
    <w:tbl>
      <w:tblPr>
        <w:tblW w:w="10350" w:type="dxa"/>
        <w:jc w:val="start"/>
        <w:tblInd w:w="378" w:type="dxa"/>
        <w:tblLayout w:type="fixed"/>
        <w:tblCellMar>
          <w:top w:w="0" w:type="dxa"/>
          <w:start w:w="108" w:type="dxa"/>
          <w:bottom w:w="0" w:type="dxa"/>
          <w:end w:w="108" w:type="dxa"/>
        </w:tblCellMar>
      </w:tblPr>
      <w:tblGrid>
        <w:gridCol w:w="4320"/>
        <w:gridCol w:w="6030"/>
      </w:tblGrid>
      <w:tr>
        <w:trPr/>
        <w:tc>
          <w:tcPr>
            <w:tcW w:w="10350" w:type="dxa"/>
            <w:gridSpan w:val="2"/>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rPr>
            </w:pPr>
            <w:r>
              <w:rPr>
                <w:b/>
                <w:bCs/>
                <w:u w:val="single"/>
              </w:rPr>
              <w:t>Litigation Risk – Alleged Rights of  First Refusal</w:t>
            </w:r>
          </w:p>
          <w:p>
            <w:pPr>
              <w:pStyle w:val="Normal"/>
              <w:rPr/>
            </w:pPr>
            <w:r>
              <w:rPr/>
              <w:t>The Spanish Parties allege that they have rights of first refusal under the Partnership Agreement (“PA”) and under the right of first refusal provision of the Riogas Shareholders Agreement (“Riogas RoFR Provisions”).  Enron disputes this claim.</w:t>
            </w:r>
          </w:p>
        </w:tc>
        <w:tc>
          <w:tcPr>
            <w:tcW w:w="6030" w:type="dxa"/>
            <w:tcBorders>
              <w:top w:val="single" w:sz="6" w:space="0" w:color="000000"/>
              <w:start w:val="single" w:sz="6" w:space="0" w:color="000000"/>
              <w:bottom w:val="single" w:sz="6" w:space="0" w:color="000000"/>
              <w:end w:val="single" w:sz="6" w:space="0" w:color="000000"/>
            </w:tcBorders>
          </w:tcPr>
          <w:p>
            <w:pPr>
              <w:pStyle w:val="Normal"/>
              <w:rPr/>
            </w:pPr>
            <w:r>
              <w:rPr/>
              <w:t>Enron has obtained legal opinions from Spanish counsel advising that the PA Provisions are unenforceable as rights of first refusal under Spanish law. In addition, these provisions advise that even if the PA Provisions were enforceable, they would apply only to direct transfers of shares in CEG and CEG-Rio, and not to indirect transfers of shares in companies above CEG and CEG-Rio in the ownership chain.</w:t>
            </w:r>
          </w:p>
          <w:p>
            <w:pPr>
              <w:pStyle w:val="Normal"/>
              <w:rPr/>
            </w:pPr>
            <w:r>
              <w:rPr/>
            </w:r>
          </w:p>
          <w:p>
            <w:pPr>
              <w:pStyle w:val="Normal"/>
              <w:rPr/>
            </w:pPr>
            <w:r>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rPr/>
            </w:pPr>
            <w:r>
              <w:rPr/>
            </w:r>
          </w:p>
          <w:p>
            <w:pPr>
              <w:pStyle w:val="Normal"/>
              <w:rPr/>
            </w:pPr>
            <w:r>
              <w:rPr/>
              <w:t>If a capital stock split is the the form of the Reoganization, the transaction structure required by the PSA would require 50 % of Enron’s interest in CEG and a small fraction of its interest in CEG-Rio to be directly transferred to Petrobras’ Petros and Termogas designees.  The direct transfer of CEG shares increases the risk of challenge under the PA Provisions because it requires total reliance on the argument that the PA Provisions are not valid. A direct transfer of CEG-Rio shares would similarly increase the risk under the PA Provisions and would require Enron to offer the small number of affected shares to the Spanish Parties pursuant to the Riogas RoFR.</w:t>
            </w:r>
          </w:p>
          <w:p>
            <w:pPr>
              <w:pStyle w:val="Normal"/>
              <w:rPr/>
            </w:pPr>
            <w:r>
              <w:rPr/>
            </w:r>
          </w:p>
        </w:tc>
      </w:tr>
    </w:tbl>
    <w:p>
      <w:pPr>
        <w:pStyle w:val="Normal"/>
        <w:rPr/>
      </w:pPr>
      <w:r>
        <w:rPr/>
      </w:r>
    </w:p>
    <w:tbl>
      <w:tblPr>
        <w:tblW w:w="10350" w:type="dxa"/>
        <w:jc w:val="start"/>
        <w:tblInd w:w="378" w:type="dxa"/>
        <w:tblLayout w:type="fixed"/>
        <w:tblCellMar>
          <w:top w:w="0" w:type="dxa"/>
          <w:start w:w="108" w:type="dxa"/>
          <w:bottom w:w="0" w:type="dxa"/>
          <w:end w:w="108" w:type="dxa"/>
        </w:tblCellMar>
      </w:tblPr>
      <w:tblGrid>
        <w:gridCol w:w="4320"/>
        <w:gridCol w:w="603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603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 / 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rPr>
            </w:pPr>
            <w:r>
              <w:rPr>
                <w:b/>
                <w:bCs/>
                <w:u w:val="single"/>
              </w:rPr>
              <w:t>Litigation Risk – Alleged Rights of  First Refusal (cont’d)</w:t>
            </w:r>
          </w:p>
          <w:p>
            <w:pPr>
              <w:pStyle w:val="Normal"/>
              <w:rPr/>
            </w:pPr>
            <w:r>
              <w:rPr/>
              <w:t>The Spanish Parties allege that they have rights of first refusal under the Partnership Agreement (“PA”) and under the right of first refusal provision of the Riogas Shareholders Agreement (“Riogas RoFR Provisions”).  Enron disputes this claim.</w:t>
            </w:r>
          </w:p>
          <w:p>
            <w:pPr>
              <w:pStyle w:val="Normal"/>
              <w:rPr/>
            </w:pPr>
            <w:r>
              <w:rPr/>
            </w:r>
          </w:p>
          <w:p>
            <w:pPr>
              <w:pStyle w:val="Normal"/>
              <w:rPr/>
            </w:pPr>
            <w:r>
              <w:rPr/>
            </w:r>
          </w:p>
        </w:tc>
        <w:tc>
          <w:tcPr>
            <w:tcW w:w="60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To  mitigate its litigation risk, Enron intends to take the following measures:</w:t>
            </w:r>
          </w:p>
          <w:p>
            <w:pPr>
              <w:pStyle w:val="Normal"/>
              <w:rPr/>
            </w:pPr>
            <w:r>
              <w:rPr/>
            </w:r>
          </w:p>
          <w:p>
            <w:pPr>
              <w:pStyle w:val="Normal"/>
              <w:numPr>
                <w:ilvl w:val="0"/>
                <w:numId w:val="2"/>
              </w:numPr>
              <w:rPr/>
            </w:pPr>
            <w:r>
              <w:rPr/>
              <w:t xml:space="preserve">Send a written offer to the Spanish Parties the right to acquire all (but not less than all) of Enron’s indirect interests in CEG and CEG-Rio on essentially the same terms as were offered to Petrobras; the exceptions being (1) the price payable will be the Petrobras cash price ($241 million) </w:t>
            </w:r>
            <w:r>
              <w:rPr>
                <w:u w:val="single"/>
              </w:rPr>
              <w:t>plus</w:t>
            </w:r>
            <w:r>
              <w:rPr/>
              <w:t xml:space="preserve"> an amount to compensate for the value of the Gaspart Waiver ($50 million) as supported by the CSFB appraisal.</w:t>
            </w:r>
          </w:p>
          <w:p>
            <w:pPr>
              <w:pStyle w:val="Normal"/>
              <w:rPr/>
            </w:pPr>
            <w:r>
              <w:rPr/>
            </w:r>
          </w:p>
          <w:p>
            <w:pPr>
              <w:pStyle w:val="Normal"/>
              <w:numPr>
                <w:ilvl w:val="0"/>
                <w:numId w:val="2"/>
              </w:numPr>
              <w:rPr/>
            </w:pPr>
            <w:r>
              <w:rPr/>
              <w:t xml:space="preserve">Hold the offer open for 21 days.  During this period, Enron will be available for discussions with the Spanish Parties in connection with the Offer.  </w:t>
            </w:r>
          </w:p>
          <w:p>
            <w:pPr>
              <w:pStyle w:val="Normal"/>
              <w:rPr/>
            </w:pPr>
            <w:r>
              <w:rPr/>
            </w:r>
          </w:p>
          <w:p>
            <w:pPr>
              <w:pStyle w:val="Normal"/>
              <w:tabs>
                <w:tab w:val="clear" w:pos="720"/>
                <w:tab w:val="left" w:pos="4860" w:leader="none"/>
              </w:tabs>
              <w:rPr/>
            </w:pPr>
            <w:r>
              <w:rPr/>
            </w:r>
          </w:p>
          <w:p>
            <w:pPr>
              <w:pStyle w:val="Normal"/>
              <w:rPr/>
            </w:pPr>
            <w:r>
              <w:rPr/>
              <w:t xml:space="preserve">Spanish and US arbitration counsel advise that, even if the Spanish Parties do not accept the Offer, making the Offer materially improves Enron’s ability to take the position in arbitration or litigation that the Spanish Parties had the right to acquire the interests on essentially the same terms offered under the PSA, thereby complying with the PA Provisions.  Failure to accept the Offer may also give rise to a defense to a subsequent claim for breach of contract that the Spanish Parties failed to reasonably mitigate damages, thereby reducing the amount they could otherwise claim against Enron or Petrobras. More importantly, the strategy gives the Enron and the Spanish Parties a clear way to avoid or limit subsequent disputes over rights of first refusal.  </w:t>
            </w:r>
            <w:r>
              <w:rPr>
                <w:b/>
                <w:bCs/>
              </w:rPr>
              <w:t>[What is indemnification liability to Petrobras, Petros, and Termogas if Spanish Parties purchase the CEG/CEG-Rio interests?  Let’s address the indemnity risk here—any risk that we could end up selling to the Spanish Parties and have to pay the full sales proceeds to Petrobras?]</w:t>
            </w:r>
          </w:p>
          <w:p>
            <w:pPr>
              <w:pStyle w:val="Normal"/>
              <w:jc w:val="both"/>
              <w:rPr>
                <w:b/>
                <w:bCs/>
              </w:rPr>
            </w:pPr>
            <w:r>
              <w:rPr>
                <w:b/>
                <w:bCs/>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b/>
                <w:bCs/>
                <w:u w:val="single"/>
              </w:rPr>
              <w:t>Litigation Risk – The Value of  the Petrobras Waiver</w:t>
            </w:r>
            <w:r>
              <w:rPr>
                <w:b/>
                <w:bCs/>
              </w:rPr>
              <w:t xml:space="preserve">.  </w:t>
            </w:r>
          </w:p>
          <w:p>
            <w:pPr>
              <w:pStyle w:val="Normal"/>
              <w:rPr/>
            </w:pPr>
            <w:r>
              <w:rPr/>
              <w:t>The Spanish Parties might challenge the value attributed in the Offer to the Gaspart Waiver.</w:t>
            </w:r>
          </w:p>
        </w:tc>
        <w:tc>
          <w:tcPr>
            <w:tcW w:w="6030" w:type="dxa"/>
            <w:tcBorders>
              <w:top w:val="single" w:sz="6" w:space="0" w:color="000000"/>
              <w:start w:val="single" w:sz="6" w:space="0" w:color="000000"/>
              <w:bottom w:val="single" w:sz="6" w:space="0" w:color="000000"/>
              <w:end w:val="single" w:sz="6" w:space="0" w:color="000000"/>
            </w:tcBorders>
          </w:tcPr>
          <w:p>
            <w:pPr>
              <w:pStyle w:val="Normal"/>
              <w:rPr/>
            </w:pPr>
            <w:r>
              <w:rPr/>
              <w:t>Enron has obtained an opinion of CS First Boston supporting the value of the waiver as being between $US 40 million and $US 60 million.</w:t>
            </w:r>
          </w:p>
          <w:p>
            <w:pPr>
              <w:pStyle w:val="Normal"/>
              <w:rPr/>
            </w:pPr>
            <w:r>
              <w:rPr/>
            </w:r>
          </w:p>
          <w:p>
            <w:pPr>
              <w:pStyle w:val="Normal"/>
              <w:rPr/>
            </w:pPr>
            <w:r>
              <w:rPr/>
            </w:r>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u w:val="single"/>
              </w:rPr>
            </w:pPr>
            <w:r>
              <w:rPr>
                <w:b/>
                <w:bCs/>
                <w:u w:val="single"/>
              </w:rPr>
              <w:t>Regulatory Risk – Failure to Obtain Approvals</w:t>
            </w:r>
          </w:p>
          <w:p>
            <w:pPr>
              <w:pStyle w:val="Normal"/>
              <w:spacing w:lineRule="atLeast" w:line="240"/>
              <w:rPr/>
            </w:pPr>
            <w:r>
              <w:rPr/>
              <w:t xml:space="preserve">ASEP, the state regulator in Rio de Janeiro, may be required under the concession to approve the transaction, based on the argument that a change of control has occurred. </w:t>
            </w:r>
          </w:p>
        </w:tc>
        <w:tc>
          <w:tcPr>
            <w:tcW w:w="6030" w:type="dxa"/>
            <w:tcBorders>
              <w:top w:val="single" w:sz="6" w:space="0" w:color="000000"/>
              <w:start w:val="single" w:sz="6" w:space="0" w:color="000000"/>
              <w:bottom w:val="single" w:sz="6" w:space="0" w:color="000000"/>
              <w:end w:val="single" w:sz="6" w:space="0" w:color="000000"/>
            </w:tcBorders>
          </w:tcPr>
          <w:p>
            <w:pPr>
              <w:pStyle w:val="Normal"/>
              <w:rPr/>
            </w:pPr>
            <w:r>
              <w:rPr/>
              <w:t>Petrobras has good relations with the State of Rio de Janeiro, including the circumstance that the Secretary of Energy for the State, who has supervisory responsibility for ASEP, is a former Petrobras employee. Although ASEP cannot indicate whether approval is required until notice of the transaction is given, Petrobras has met with the State and feels very comfortable that, if required, ASEP approval will be granted.</w:t>
            </w:r>
          </w:p>
          <w:p>
            <w:pPr>
              <w:pStyle w:val="Normal"/>
              <w:rPr/>
            </w:pPr>
            <w:r>
              <w:rPr/>
            </w:r>
          </w:p>
          <w:p>
            <w:pPr>
              <w:pStyle w:val="Normal"/>
              <w:rPr/>
            </w:pPr>
            <w:r>
              <w:rPr/>
              <w:t>The PSA contains a condition precedent that all required authorizations from governmental authorities must be obtained prior to closing, which includes the approval of ASEP, if required.  If all conditions precedent are not satisfied or waived prior to December 31, 2001, any party has the right to terminate the PSA.</w:t>
            </w:r>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rPr>
            </w:pPr>
            <w:r>
              <w:rPr>
                <w:b/>
                <w:bCs/>
                <w:u w:val="single"/>
              </w:rPr>
              <w:t>Restructuring Risk</w:t>
            </w:r>
          </w:p>
          <w:p>
            <w:pPr>
              <w:pStyle w:val="Normal"/>
              <w:spacing w:lineRule="atLeast" w:line="240"/>
              <w:rPr/>
            </w:pPr>
            <w:r>
              <w:rPr/>
              <w:t>The restructuring (through reverse merger, stock split-off, liquidation or capital reduction) of GEC and Ementhal is a condition to closing and may not occur in a timely manner.</w:t>
            </w:r>
          </w:p>
        </w:tc>
        <w:tc>
          <w:tcPr>
            <w:tcW w:w="6030" w:type="dxa"/>
            <w:tcBorders>
              <w:top w:val="single" w:sz="6" w:space="0" w:color="000000"/>
              <w:start w:val="single" w:sz="6" w:space="0" w:color="000000"/>
              <w:bottom w:val="single" w:sz="6" w:space="0" w:color="000000"/>
              <w:end w:val="single" w:sz="6" w:space="0" w:color="000000"/>
            </w:tcBorders>
          </w:tcPr>
          <w:p>
            <w:pPr>
              <w:pStyle w:val="Normal"/>
              <w:rPr/>
            </w:pPr>
            <w:r>
              <w:rPr/>
              <w:t>If all conditions precedent are not satisfied or waived prior to December 31, 2001, any party has the right to terminate the PSA.</w:t>
            </w:r>
          </w:p>
          <w:p>
            <w:pPr>
              <w:pStyle w:val="Normal"/>
              <w:rPr/>
            </w:pPr>
            <w:r>
              <w:rPr/>
            </w:r>
          </w:p>
          <w:p>
            <w:pPr>
              <w:pStyle w:val="Normal"/>
              <w:rPr/>
            </w:pPr>
            <w:r>
              <w:rPr/>
            </w:r>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rPr>
            </w:pPr>
            <w:r>
              <w:rPr>
                <w:b/>
                <w:bCs/>
                <w:u w:val="single"/>
              </w:rPr>
              <w:t>Renationalization Risk</w:t>
            </w:r>
          </w:p>
          <w:p>
            <w:pPr>
              <w:pStyle w:val="Normal"/>
              <w:spacing w:lineRule="atLeast" w:line="240"/>
              <w:rPr/>
            </w:pPr>
            <w:r>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6030" w:type="dxa"/>
            <w:tcBorders>
              <w:top w:val="single" w:sz="6" w:space="0" w:color="000000"/>
              <w:start w:val="single" w:sz="6" w:space="0" w:color="000000"/>
              <w:bottom w:val="single" w:sz="6" w:space="0" w:color="000000"/>
              <w:end w:val="single" w:sz="6" w:space="0" w:color="000000"/>
            </w:tcBorders>
          </w:tcPr>
          <w:p>
            <w:pPr>
              <w:pStyle w:val="CommentText"/>
              <w:rPr/>
            </w:pPr>
            <w:r>
              <w:rPr/>
              <w:t>Part of the interests are to be purchased by Petrobras’s designees, Petros (the Petrobras employee pension fund) and Termogas (a Cayman company owned by CS Participações Ltda, a privately owned Brazilian company).  These interests to be held by private parties prevent CEG and CEG-Rio from being controlled by government-controlled entities.</w:t>
            </w:r>
          </w:p>
          <w:p>
            <w:pPr>
              <w:pStyle w:val="CommentText"/>
              <w:rPr/>
            </w:pPr>
            <w:r>
              <w:rPr/>
            </w:r>
          </w:p>
          <w:p>
            <w:pPr>
              <w:pStyle w:val="CommentText"/>
              <w:rPr/>
            </w:pPr>
            <w:r>
              <w:rPr/>
              <w:t>Brazilian counsel has advised that, while there is no precedent on this point, the structure appears to avoid a renationalization of the interests in CEG and CEG-Rio.</w:t>
            </w:r>
          </w:p>
          <w:p>
            <w:pPr>
              <w:pStyle w:val="CommentText"/>
              <w:rPr/>
            </w:pPr>
            <w:r>
              <w:rPr/>
            </w:r>
          </w:p>
          <w:p>
            <w:pPr>
              <w:pStyle w:val="CommentText"/>
              <w:rPr/>
            </w:pPr>
            <w:r>
              <w:rPr/>
              <w:t xml:space="preserve">A suit on this basis prior to closing would give rise to a condition precedent to closing.  If all conditions precedent are not satisfied or waived prior to December 31, 2001, any party has the right to terminate the PSA </w:t>
            </w:r>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spacing w:lineRule="atLeast" w:line="240"/>
              <w:ind w:hanging="0" w:start="0"/>
              <w:rPr>
                <w:bCs/>
              </w:rPr>
            </w:pPr>
            <w:r>
              <w:rPr>
                <w:bCs/>
              </w:rPr>
              <w:t>Tax Risk</w:t>
            </w:r>
          </w:p>
        </w:tc>
        <w:tc>
          <w:tcPr>
            <w:tcW w:w="603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Petrobras's payment of the $241 million purchase price to Enron for EIB and EIBGH offshore is completely outside the Brazilian tax jurisidiction and essentially free of Brazilian tax risk.  However, in order to accommodate Petrobras' commercial constraints, the existing ownership structure will have to be restructured.. The restructuring itself should be tax-free in Brazil, but the lower tier sales to Petros and Termogas create exposure to Brazilian tax on EIB and EIBGH.  Both Enron and Petrobras have obtained advice from independent Brazilian tax advisors who have concluded that strong legal bases exist for the position that these lower tier sales should be non-taxable in Brazil.</w:t>
            </w:r>
          </w:p>
          <w:p>
            <w:pPr>
              <w:pStyle w:val="Header"/>
              <w:widowControl/>
              <w:tabs>
                <w:tab w:val="clear" w:pos="4320"/>
                <w:tab w:val="clear" w:pos="8640"/>
              </w:tabs>
              <w:rPr>
                <w:color w:val="000000"/>
              </w:rPr>
            </w:pPr>
            <w:r>
              <w:rPr>
                <w:color w:val="000000"/>
              </w:rPr>
            </w:r>
          </w:p>
        </w:tc>
      </w:tr>
    </w:tbl>
    <w:p>
      <w:pPr>
        <w:pStyle w:val="Normal"/>
        <w:rPr/>
      </w:pPr>
      <w:r>
        <w:rPr/>
      </w:r>
    </w:p>
    <w:p>
      <w:pPr>
        <w:pStyle w:val="Normal"/>
        <w:rPr/>
      </w:pPr>
      <w:r>
        <w:rPr/>
      </w:r>
    </w:p>
    <w:p>
      <w:pPr>
        <w:pStyle w:val="Normal"/>
        <w:pBdr>
          <w:top w:val="single" w:sz="8" w:space="1" w:color="000000"/>
        </w:pBdr>
        <w:ind w:end="-36"/>
        <w:rPr>
          <w:b/>
        </w:rPr>
      </w:pPr>
      <w:r>
        <w:rPr>
          <w:b/>
        </w:rPr>
        <w:t>MILESTONES:</w:t>
      </w:r>
    </w:p>
    <w:p>
      <w:pPr>
        <w:pStyle w:val="Normal"/>
        <w:pBdr>
          <w:top w:val="single" w:sz="8" w:space="1" w:color="000000"/>
        </w:pBdr>
        <w:ind w:end="-36"/>
        <w:rPr>
          <w:b/>
        </w:rPr>
      </w:pPr>
      <w:r>
        <w:rPr>
          <w:b/>
        </w:rPr>
      </w:r>
    </w:p>
    <w:p>
      <w:pPr>
        <w:pStyle w:val="Normal"/>
        <w:pBdr>
          <w:top w:val="single" w:sz="8" w:space="1" w:color="000000"/>
        </w:pBdr>
        <w:ind w:end="-36"/>
        <w:rPr>
          <w:bCs/>
        </w:rPr>
      </w:pPr>
      <w:r>
        <w:rPr>
          <w:bCs/>
        </w:rPr>
        <w:t xml:space="preserve">1.  Status update on Spanish Parties Right of First Refusal Claims </w:t>
        <w:tab/>
        <w:tab/>
        <w:t>June 15, 2001</w:t>
      </w:r>
    </w:p>
    <w:p>
      <w:pPr>
        <w:pStyle w:val="BlockText"/>
        <w:rPr/>
      </w:pPr>
      <w:r>
        <w:rPr/>
        <w:t>2.  Status of restructuring</w:t>
        <w:tab/>
        <w:t>June 15, 2001 and quarterly thereafter until completed</w:t>
      </w:r>
    </w:p>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Header"/>
        <w:widowControl/>
        <w:tabs>
          <w:tab w:val="clear" w:pos="4320"/>
          <w:tab w:val="clear" w:pos="8640"/>
        </w:tabs>
        <w:rPr/>
      </w:pPr>
      <w:r>
        <w:rPr/>
        <w:t xml:space="preserve">[RAC recommends the transaction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p>
      <w:pPr>
        <w:pStyle w:val="CommentText"/>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Corporate Development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Frank Stabler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Cullen Duke</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color w:val="000000"/>
              </w:rPr>
            </w:pPr>
            <w:r>
              <w:rPr>
                <w:color w:val="000000"/>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Cliff Baxter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 xml:space="preserve">ENE-CEO </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/mnt/main-storage/datasets/enron-docs/doc/CEGDASH_Version_04302001__clean_.doc</w:t>
    </w:r>
    <w:r>
      <w:rPr>
        <w:sz w:val="16"/>
      </w:rPr>
      <w:fldChar w:fldCharType="end"/>
    </w:r>
    <w:r>
      <w:rPr>
        <w:sz w:val="16"/>
      </w:rPr>
      <w:tab/>
      <w:t>DRAFT</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720" w:leader="none"/>
      </w:tabs>
      <w:rPr>
        <w:b/>
      </w:rPr>
    </w:pPr>
    <w:r>
      <w:rPr>
        <w:b/>
      </w:rPr>
      <w:t>RAC Deal Approval Sheet</w:t>
      <w:tab/>
      <w:t xml:space="preserve">                  Deal Name:  CEG/CEG-Rio Equity Sale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color w:val="000000"/>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b w:val="false"/>
      <w:i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St5z0">
    <w:name w:val="WW8NumSt5z0"/>
    <w:qFormat/>
    <w:rPr>
      <w:rFonts w:ascii="MT Extra" w:hAnsi="MT Extra" w:cs="MT Extra"/>
      <w:sz w:val="28"/>
    </w:rPr>
  </w:style>
  <w:style w:type="character" w:styleId="WW8NumSt7z0">
    <w:name w:val="WW8NumSt7z0"/>
    <w:qFormat/>
    <w:rPr>
      <w:rFonts w:ascii="MT Extra" w:hAnsi="MT Extra" w:cs="MT Extra"/>
      <w:sz w:val="30"/>
    </w:rPr>
  </w:style>
  <w:style w:type="character" w:styleId="WW8NumSt8z0">
    <w:name w:val="WW8NumSt8z0"/>
    <w:qFormat/>
    <w:rPr>
      <w:rFonts w:ascii="Times New Roman" w:hAnsi="Times New Roman" w:cs="Times New Roman"/>
      <w:sz w:val="30"/>
    </w:rPr>
  </w:style>
  <w:style w:type="character" w:styleId="WW8NumSt10z0">
    <w:name w:val="WW8NumSt10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160" w:start="2160" w:end="0"/>
    </w:pPr>
    <w:rPr/>
  </w:style>
  <w:style w:type="paragraph" w:styleId="ParaUnd">
    <w:name w:val="ParaUnd"/>
    <w:basedOn w:val="Normal"/>
    <w:next w:val="Normal"/>
    <w:qFormat/>
    <w:pPr>
      <w:keepNext w:val="true"/>
      <w:widowControl w:val="false"/>
      <w:tabs>
        <w:tab w:val="clear" w:pos="720"/>
        <w:tab w:val="left" w:pos="-720" w:leader="none"/>
      </w:tabs>
      <w:jc w:val="center"/>
    </w:pPr>
    <w:rPr>
      <w:b/>
      <w:sz w:val="24"/>
      <w:u w:val="single"/>
    </w:rPr>
  </w:style>
  <w:style w:type="paragraph" w:styleId="VEBodyText">
    <w:name w:val="VE Body Text"/>
    <w:basedOn w:val="Normal"/>
    <w:qFormat/>
    <w:pPr>
      <w:spacing w:before="0" w:after="240"/>
      <w:jc w:val="both"/>
    </w:pPr>
    <w:rPr>
      <w:sz w:val="24"/>
    </w:rPr>
  </w:style>
  <w:style w:type="paragraph" w:styleId="CommentText">
    <w:name w:val="Comment Text"/>
    <w:basedOn w:val="Normal"/>
    <w:qFormat/>
    <w:pPr/>
    <w:rPr/>
  </w:style>
  <w:style w:type="paragraph" w:styleId="BodyTextIndent2">
    <w:name w:val="Body Text Indent 2"/>
    <w:basedOn w:val="Normal"/>
    <w:qFormat/>
    <w:pPr>
      <w:ind w:hanging="180" w:start="540" w:end="0"/>
    </w:pPr>
    <w:rPr/>
  </w:style>
  <w:style w:type="paragraph" w:styleId="BlockText">
    <w:name w:val="Block Text"/>
    <w:basedOn w:val="Normal"/>
    <w:qFormat/>
    <w:pPr>
      <w:pBdr>
        <w:top w:val="single" w:sz="8" w:space="1" w:color="000000"/>
      </w:pBdr>
      <w:ind w:hanging="6480" w:start="6480" w:end="-36"/>
    </w:pPr>
    <w:rPr>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2001-05-01T20:40:00Z</dcterms:created>
  <dc:creator>mruane</dc:creator>
  <dc:description>MR: 9-20-99 added tax signoff</dc:description>
  <dc:language>en-CA</dc:language>
  <cp:lastModifiedBy>David B. Gorte</cp:lastModifiedBy>
  <cp:lastPrinted>2000-06-29T14:23:00Z</cp:lastPrinted>
  <dcterms:modified xsi:type="dcterms:W3CDTF">2001-05-01T20:40:00Z</dcterms:modified>
  <cp:revision>2</cp:revision>
  <dc:subject/>
  <dc:title>ENRON RISK ASSESSMENT AND CONTROL</dc:title>
</cp:coreProperties>
</file>