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rPr/>
      </w:pPr>
      <w:r>
        <w:rPr/>
        <w:t>ENRON RISK ASSESSMENT AND CONTROL</w:t>
      </w:r>
    </w:p>
    <w:p>
      <w:pPr>
        <w:pStyle w:val="Heading8"/>
        <w:bidi w:val="0"/>
        <w:rPr>
          <w:rFonts w:ascii="Arial" w:hAnsi="Arial"/>
        </w:rPr>
      </w:pPr>
      <w:r>
        <w:rPr>
          <w:rFonts w:ascii="Arial" w:hAnsi="Arial"/>
        </w:rPr>
        <w:t xml:space="preserve"> </w:t>
      </w:r>
      <w:r>
        <w:rPr>
          <w:rFonts w:ascii="Arial" w:hAnsi="Arial"/>
        </w:rPr>
        <w:t>DEAL APPROVAL SHEET</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008" w:right="1008" w:gutter="0" w:header="720" w:top="777" w:footer="720" w:bottom="777"/>
          <w:pgNumType w:fmt="decimal"/>
          <w:formProt w:val="false"/>
          <w:titlePg/>
          <w:textDirection w:val="lrTb"/>
          <w:docGrid w:type="default" w:linePitch="600" w:charSpace="32768"/>
        </w:sectPr>
      </w:pPr>
    </w:p>
    <w:p>
      <w:pPr>
        <w:pStyle w:val="Normal"/>
        <w:bidi w:val="0"/>
        <w:ind w:firstLine="720" w:start="720"/>
        <w:jc w:val="end"/>
        <w:rPr>
          <w:rFonts w:ascii="Arial" w:hAnsi="Arial"/>
          <w:b/>
        </w:rPr>
      </w:pPr>
      <w:r>
        <w:fldChar w:fldCharType="begin">
          <w:ffData>
            <w:name w:val="Bookmark"/>
            <w:enabled/>
            <w:ddList>
              <w:result w:val="0"/>
            </w:ddList>
          </w:ffData>
        </w:fldChar>
      </w:r>
      <w:r>
        <w:rPr/>
        <w:instrText xml:space="preserve"> FORMDROPDOWN </w:instrText>
      </w:r>
      <w:r>
        <w:rPr/>
        <w:fldChar w:fldCharType="separate"/>
      </w:r>
      <w:bookmarkStart w:id="0" w:name="Dropdown9"/>
      <w:bookmarkStart w:id="1" w:name="Bookmark"/>
      <w:bookmarkStart w:id="2" w:name="Bookmark"/>
      <w:bookmarkEnd w:id="2"/>
      <w:r/>
      <w:r>
        <w:rPr/>
        <w:fldChar w:fldCharType="end"/>
      </w:r>
      <w:r>
        <w:rPr/>
      </w:r>
      <w:bookmarkEnd w:id="0"/>
    </w:p>
    <w:tbl>
      <w:tblPr>
        <w:tblW w:w="10422" w:type="dxa"/>
        <w:jc w:val="start"/>
        <w:tblInd w:w="18" w:type="dxa"/>
        <w:tblLayout w:type="fixed"/>
        <w:tblCellMar>
          <w:top w:w="0" w:type="dxa"/>
          <w:start w:w="108" w:type="dxa"/>
          <w:bottom w:w="0" w:type="dxa"/>
          <w:end w:w="108" w:type="dxa"/>
        </w:tblCellMar>
      </w:tblPr>
      <w:tblGrid>
        <w:gridCol w:w="2250"/>
        <w:gridCol w:w="3060"/>
        <w:gridCol w:w="80"/>
        <w:gridCol w:w="5032"/>
      </w:tblGrid>
      <w:tr>
        <w:trPr>
          <w:cantSplit w:val="true"/>
        </w:trPr>
        <w:tc>
          <w:tcPr>
            <w:tcW w:w="5390" w:type="dxa"/>
            <w:gridSpan w:val="3"/>
            <w:tcBorders>
              <w:top w:val="single" w:sz="8" w:space="0" w:color="000000"/>
            </w:tcBorders>
          </w:tcPr>
          <w:p>
            <w:pPr>
              <w:pStyle w:val="Normal"/>
              <w:tabs>
                <w:tab w:val="clear" w:pos="720"/>
              </w:tabs>
              <w:bidi w:val="0"/>
              <w:ind w:end="-14"/>
              <w:jc w:val="start"/>
              <w:rPr>
                <w:rFonts w:ascii="Arial" w:hAnsi="Arial"/>
                <w:b/>
                <w:sz w:val="20"/>
              </w:rPr>
            </w:pPr>
            <w:r>
              <w:rPr>
                <w:rFonts w:ascii="Arial" w:hAnsi="Arial"/>
                <w:b/>
                <w:sz w:val="20"/>
              </w:rPr>
              <w:t>DEAL NAME:</w:t>
            </w:r>
          </w:p>
          <w:p>
            <w:pPr>
              <w:pStyle w:val="Normal"/>
              <w:tabs>
                <w:tab w:val="clear" w:pos="720"/>
              </w:tabs>
              <w:bidi w:val="0"/>
              <w:ind w:end="792"/>
              <w:jc w:val="start"/>
              <w:rPr>
                <w:rFonts w:ascii="Arial" w:hAnsi="Arial"/>
                <w:b/>
                <w:sz w:val="20"/>
              </w:rPr>
            </w:pPr>
            <w:r>
              <w:fldChar w:fldCharType="begin">
                <w:ffData>
                  <w:name w:val="Bookmark Copy 1"/>
                  <w:enabled/>
                  <w:calcOnExit w:val="0"/>
                  <w:textInput/>
                </w:ffData>
              </w:fldChar>
            </w:r>
            <w:r>
              <w:rPr/>
              <w:instrText xml:space="preserve"> FORMTEXT </w:instrText>
            </w:r>
            <w:bookmarkStart w:id="3" w:name="Text1"/>
            <w:r>
              <w:rPr/>
            </w:r>
            <w:r>
              <w:rPr/>
              <w:fldChar w:fldCharType="separate"/>
            </w:r>
            <w:r>
              <w:rPr/>
            </w:r>
            <w:r>
              <w:rPr>
                <w:rFonts w:ascii="Arial" w:hAnsi="Arial"/>
                <w:b/>
                <w:sz w:val="20"/>
              </w:rPr>
              <w:t>CEG and CEG-Rio Divestiture</w:t>
            </w:r>
            <w:r/>
            <w:r>
              <w:rPr/>
              <w:fldChar w:fldCharType="end"/>
            </w:r>
            <w:r>
              <w:rPr/>
            </w:r>
            <w:bookmarkEnd w:id="3"/>
          </w:p>
          <w:p>
            <w:pPr>
              <w:pStyle w:val="Normal"/>
              <w:tabs>
                <w:tab w:val="clear" w:pos="720"/>
              </w:tabs>
              <w:bidi w:val="0"/>
              <w:jc w:val="start"/>
              <w:rPr>
                <w:rFonts w:ascii="Arial" w:hAnsi="Arial"/>
                <w:b/>
                <w:sz w:val="20"/>
              </w:rPr>
            </w:pPr>
            <w:r>
              <w:rPr>
                <w:rFonts w:ascii="Arial" w:hAnsi="Arial"/>
                <w:b/>
                <w:sz w:val="20"/>
              </w:rPr>
            </w:r>
          </w:p>
          <w:p>
            <w:pPr>
              <w:pStyle w:val="Header"/>
              <w:tabs>
                <w:tab w:val="clear" w:pos="4320"/>
                <w:tab w:val="clear" w:pos="8640"/>
              </w:tabs>
              <w:bidi w:val="0"/>
              <w:jc w:val="start"/>
              <w:rPr>
                <w:rFonts w:ascii="Arial" w:hAnsi="Arial"/>
                <w:b/>
              </w:rPr>
            </w:pPr>
            <w:r>
              <w:rPr>
                <w:rFonts w:ascii="Arial" w:hAnsi="Arial"/>
              </w:rPr>
              <w:t>Counterparty:</w:t>
            </w:r>
          </w:p>
          <w:p>
            <w:pPr>
              <w:pStyle w:val="Normal"/>
              <w:tabs>
                <w:tab w:val="clear" w:pos="720"/>
              </w:tabs>
              <w:bidi w:val="0"/>
              <w:ind w:end="792"/>
              <w:jc w:val="start"/>
              <w:rPr>
                <w:rFonts w:ascii="Arial" w:hAnsi="Arial"/>
                <w:b/>
                <w:sz w:val="20"/>
              </w:rPr>
            </w:pPr>
            <w:r>
              <w:fldChar w:fldCharType="begin">
                <w:ffData>
                  <w:name w:val="Bookmark Copy 2"/>
                  <w:enabled/>
                  <w:calcOnExit w:val="0"/>
                  <w:textInput/>
                </w:ffData>
              </w:fldChar>
            </w:r>
            <w:r>
              <w:rPr/>
              <w:instrText xml:space="preserve"> FORMTEXT </w:instrText>
            </w:r>
            <w:bookmarkStart w:id="4" w:name="Text2"/>
            <w:r>
              <w:rPr/>
            </w:r>
            <w:r>
              <w:rPr/>
              <w:fldChar w:fldCharType="separate"/>
            </w:r>
            <w:r>
              <w:rPr/>
            </w:r>
            <w:r>
              <w:rPr>
                <w:rFonts w:ascii="Arial" w:hAnsi="Arial"/>
                <w:b/>
                <w:sz w:val="20"/>
              </w:rPr>
              <w:t>Petroleo Brasileiro S.A. (Petrobras)</w:t>
            </w:r>
            <w:r/>
            <w:r>
              <w:rPr/>
              <w:fldChar w:fldCharType="end"/>
            </w:r>
            <w:r>
              <w:rPr/>
            </w:r>
            <w:bookmarkEnd w:id="4"/>
          </w:p>
          <w:p>
            <w:pPr>
              <w:pStyle w:val="Normal"/>
              <w:tabs>
                <w:tab w:val="clear" w:pos="720"/>
              </w:tabs>
              <w:bidi w:val="0"/>
              <w:jc w:val="start"/>
              <w:rPr>
                <w:rFonts w:ascii="Arial" w:hAnsi="Arial"/>
                <w:b/>
                <w:sz w:val="20"/>
              </w:rPr>
            </w:pPr>
            <w:r>
              <w:rPr>
                <w:rFonts w:ascii="Arial" w:hAnsi="Arial"/>
                <w:b/>
                <w:sz w:val="20"/>
              </w:rPr>
            </w:r>
          </w:p>
          <w:p>
            <w:pPr>
              <w:pStyle w:val="Normal"/>
              <w:tabs>
                <w:tab w:val="clear" w:pos="720"/>
              </w:tabs>
              <w:bidi w:val="0"/>
              <w:ind w:end="-738"/>
              <w:jc w:val="start"/>
              <w:rPr>
                <w:rFonts w:ascii="Arial" w:hAnsi="Arial"/>
                <w:color w:val="0000FF"/>
                <w:sz w:val="20"/>
              </w:rPr>
            </w:pPr>
            <w:r>
              <w:rPr>
                <w:rFonts w:ascii="Arial" w:hAnsi="Arial"/>
                <w:color w:val="0000FF"/>
                <w:sz w:val="20"/>
              </w:rPr>
              <w:t>Business Unit:</w:t>
            </w:r>
          </w:p>
          <w:p>
            <w:pPr>
              <w:pStyle w:val="Normal"/>
              <w:tabs>
                <w:tab w:val="clear" w:pos="720"/>
              </w:tabs>
              <w:bidi w:val="0"/>
              <w:ind w:end="-738"/>
              <w:jc w:val="start"/>
              <w:rPr>
                <w:rFonts w:ascii="Arial" w:hAnsi="Arial"/>
                <w:sz w:val="20"/>
              </w:rPr>
            </w:pPr>
            <w:r>
              <w:fldChar w:fldCharType="begin">
                <w:ffData>
                  <w:name w:val="Bookmark Copy 3"/>
                  <w:enabled/>
                  <w:ddList>
                    <w:result w:val="0"/>
                  </w:ddList>
                </w:ffData>
              </w:fldChar>
            </w:r>
            <w:r>
              <w:rPr/>
              <w:instrText xml:space="preserve"> FORMDROPDOWN </w:instrText>
            </w:r>
            <w:r>
              <w:rPr/>
              <w:fldChar w:fldCharType="separate"/>
            </w:r>
            <w:bookmarkStart w:id="5" w:name="Dropdown6"/>
            <w:bookmarkStart w:id="6" w:name="Bookmark_Copy_3"/>
            <w:bookmarkStart w:id="7" w:name="Bookmark_Copy_3"/>
            <w:bookmarkEnd w:id="7"/>
            <w:r/>
            <w:r>
              <w:rPr/>
              <w:fldChar w:fldCharType="end"/>
            </w:r>
            <w:r>
              <w:rPr/>
            </w:r>
            <w:bookmarkEnd w:id="5"/>
          </w:p>
          <w:p>
            <w:pPr>
              <w:pStyle w:val="Normal"/>
              <w:tabs>
                <w:tab w:val="clear" w:pos="720"/>
              </w:tabs>
              <w:bidi w:val="0"/>
              <w:jc w:val="start"/>
              <w:rPr>
                <w:rFonts w:ascii="Arial" w:hAnsi="Arial"/>
                <w:b/>
                <w:sz w:val="20"/>
              </w:rPr>
            </w:pPr>
            <w:r>
              <w:rPr>
                <w:rFonts w:ascii="Arial" w:hAnsi="Arial"/>
                <w:b/>
                <w:sz w:val="20"/>
              </w:rPr>
            </w:r>
          </w:p>
          <w:p>
            <w:pPr>
              <w:pStyle w:val="Normal"/>
              <w:tabs>
                <w:tab w:val="clear" w:pos="720"/>
              </w:tabs>
              <w:bidi w:val="0"/>
              <w:ind w:end="-738"/>
              <w:jc w:val="start"/>
              <w:rPr>
                <w:rFonts w:ascii="Arial" w:hAnsi="Arial"/>
                <w:sz w:val="20"/>
              </w:rPr>
            </w:pPr>
            <w:r>
              <w:rPr>
                <w:rFonts w:ascii="Arial" w:hAnsi="Arial"/>
                <w:sz w:val="20"/>
              </w:rPr>
              <w:t xml:space="preserve">Business Unit Originator: </w:t>
            </w:r>
          </w:p>
          <w:p>
            <w:pPr>
              <w:pStyle w:val="Normal"/>
              <w:tabs>
                <w:tab w:val="clear" w:pos="720"/>
              </w:tabs>
              <w:bidi w:val="0"/>
              <w:ind w:end="-738"/>
              <w:jc w:val="start"/>
              <w:rPr>
                <w:rFonts w:ascii="Arial" w:hAnsi="Arial"/>
                <w:sz w:val="20"/>
              </w:rPr>
            </w:pPr>
            <w:r>
              <w:fldChar w:fldCharType="begin">
                <w:ffData>
                  <w:name w:val="Bookmark Copy 4"/>
                  <w:enabled/>
                  <w:calcOnExit w:val="0"/>
                  <w:textInput/>
                </w:ffData>
              </w:fldChar>
            </w:r>
            <w:r>
              <w:rPr/>
              <w:instrText xml:space="preserve"> FORMTEXT </w:instrText>
            </w:r>
            <w:bookmarkStart w:id="8" w:name="Text5"/>
            <w:r>
              <w:rPr/>
            </w:r>
            <w:r>
              <w:rPr/>
              <w:fldChar w:fldCharType="separate"/>
            </w:r>
            <w:r>
              <w:rPr/>
            </w:r>
            <w:r>
              <w:rPr>
                <w:rFonts w:ascii="Arial" w:hAnsi="Arial"/>
                <w:sz w:val="20"/>
              </w:rPr>
              <w:t>Frank Stabler</w:t>
            </w:r>
            <w:r/>
            <w:r>
              <w:rPr/>
              <w:fldChar w:fldCharType="end"/>
            </w:r>
            <w:r>
              <w:rPr/>
            </w:r>
            <w:bookmarkEnd w:id="8"/>
          </w:p>
          <w:p>
            <w:pPr>
              <w:pStyle w:val="Normal"/>
              <w:tabs>
                <w:tab w:val="clear" w:pos="720"/>
              </w:tabs>
              <w:bidi w:val="0"/>
              <w:jc w:val="start"/>
              <w:rPr>
                <w:rFonts w:ascii="Arial" w:hAnsi="Arial"/>
                <w:b/>
                <w:sz w:val="20"/>
              </w:rPr>
            </w:pPr>
            <w:r>
              <w:rPr>
                <w:rFonts w:ascii="Arial" w:hAnsi="Arial"/>
                <w:b/>
                <w:sz w:val="20"/>
              </w:rPr>
            </w:r>
          </w:p>
          <w:p>
            <w:pPr>
              <w:pStyle w:val="Normal"/>
              <w:tabs>
                <w:tab w:val="clear" w:pos="720"/>
              </w:tabs>
              <w:bidi w:val="0"/>
              <w:ind w:end="-14"/>
              <w:jc w:val="start"/>
              <w:rPr>
                <w:rFonts w:ascii="Arial" w:hAnsi="Arial"/>
                <w:b/>
                <w:color w:val="0000FF"/>
                <w:sz w:val="20"/>
              </w:rPr>
            </w:pPr>
            <w:r>
              <w:rPr>
                <w:rFonts w:ascii="Arial" w:hAnsi="Arial"/>
                <w:color w:val="0000FF"/>
                <w:sz w:val="20"/>
              </w:rPr>
              <w:t>Industry:</w:t>
            </w:r>
          </w:p>
          <w:p>
            <w:pPr>
              <w:pStyle w:val="Normal"/>
              <w:tabs>
                <w:tab w:val="clear" w:pos="720"/>
              </w:tabs>
              <w:bidi w:val="0"/>
              <w:ind w:end="-738"/>
              <w:jc w:val="start"/>
              <w:rPr>
                <w:rFonts w:ascii="Arial" w:hAnsi="Arial"/>
                <w:sz w:val="18"/>
              </w:rPr>
            </w:pPr>
            <w:r>
              <w:fldChar w:fldCharType="begin">
                <w:ffData>
                  <w:name w:val="Bookmark Copy 5"/>
                  <w:enabled/>
                  <w:calcOnExit w:val="0"/>
                  <w:textInput/>
                </w:ffData>
              </w:fldChar>
            </w:r>
            <w:r>
              <w:rPr/>
              <w:instrText xml:space="preserve"> FORMTEXT </w:instrText>
            </w:r>
            <w:bookmarkStart w:id="9" w:name="UserForm1"/>
            <w:r>
              <w:rPr/>
            </w:r>
            <w:r>
              <w:rPr/>
              <w:fldChar w:fldCharType="separate"/>
            </w:r>
            <w:r>
              <w:rPr/>
            </w:r>
            <w:r>
              <w:rPr>
                <w:rFonts w:ascii="Arial" w:hAnsi="Arial"/>
                <w:sz w:val="18"/>
              </w:rPr>
              <w:t>SELECT INDUSTRY CATEGORY</w:t>
            </w:r>
            <w:r/>
            <w:r>
              <w:rPr/>
              <w:fldChar w:fldCharType="end"/>
            </w:r>
            <w:r>
              <w:rPr/>
            </w:r>
            <w:bookmarkEnd w:id="9"/>
          </w:p>
          <w:p>
            <w:pPr>
              <w:pStyle w:val="Normal"/>
              <w:tabs>
                <w:tab w:val="clear" w:pos="720"/>
              </w:tabs>
              <w:bidi w:val="0"/>
              <w:jc w:val="start"/>
              <w:rPr>
                <w:rFonts w:ascii="Arial" w:hAnsi="Arial"/>
                <w:b/>
                <w:sz w:val="20"/>
              </w:rPr>
            </w:pPr>
            <w:r>
              <w:rPr>
                <w:rFonts w:ascii="Arial" w:hAnsi="Arial"/>
                <w:b/>
                <w:sz w:val="20"/>
              </w:rPr>
            </w:r>
          </w:p>
          <w:p>
            <w:pPr>
              <w:pStyle w:val="Normal"/>
              <w:tabs>
                <w:tab w:val="clear" w:pos="720"/>
              </w:tabs>
              <w:bidi w:val="0"/>
              <w:ind w:end="-738"/>
              <w:jc w:val="start"/>
              <w:rPr>
                <w:rFonts w:ascii="Arial" w:hAnsi="Arial"/>
                <w:sz w:val="20"/>
              </w:rPr>
            </w:pPr>
            <w:r>
              <w:rPr>
                <w:rFonts w:ascii="Arial" w:hAnsi="Arial"/>
                <w:sz w:val="20"/>
              </w:rPr>
              <w:t>This Transaction:</w:t>
            </w:r>
          </w:p>
          <w:p>
            <w:pPr>
              <w:pStyle w:val="Normal"/>
              <w:tabs>
                <w:tab w:val="clear" w:pos="720"/>
              </w:tabs>
              <w:bidi w:val="0"/>
              <w:ind w:end="-738"/>
              <w:jc w:val="start"/>
              <w:rPr>
                <w:rFonts w:ascii="Arial" w:hAnsi="Arial"/>
                <w:sz w:val="20"/>
              </w:rPr>
            </w:pPr>
            <w:r>
              <w:fldChar w:fldCharType="begin">
                <w:ffData>
                  <w:name w:val="Bookmark Copy 6"/>
                  <w:enabled/>
                  <w:ddList>
                    <w:result w:val="0"/>
                  </w:ddList>
                </w:ffData>
              </w:fldChar>
            </w:r>
            <w:r>
              <w:rPr/>
              <w:instrText xml:space="preserve"> FORMDROPDOWN </w:instrText>
            </w:r>
            <w:r>
              <w:rPr/>
              <w:fldChar w:fldCharType="separate"/>
            </w:r>
            <w:bookmarkStart w:id="10" w:name="Bookmark_Copy_6"/>
            <w:bookmarkStart w:id="11" w:name="Bookmark_Copy_6"/>
            <w:bookmarkEnd w:id="11"/>
            <w:r/>
            <w:r>
              <w:rPr/>
              <w:fldChar w:fldCharType="end"/>
            </w:r>
            <w:r>
              <w:rPr/>
            </w:r>
          </w:p>
          <w:p>
            <w:pPr>
              <w:pStyle w:val="Normal"/>
              <w:tabs>
                <w:tab w:val="clear" w:pos="720"/>
              </w:tabs>
              <w:bidi w:val="0"/>
              <w:jc w:val="start"/>
              <w:rPr>
                <w:rFonts w:ascii="Arial" w:hAnsi="Arial"/>
                <w:b/>
                <w:sz w:val="20"/>
              </w:rPr>
            </w:pPr>
            <w:r>
              <w:rPr>
                <w:rFonts w:ascii="Arial" w:hAnsi="Arial"/>
                <w:b/>
                <w:sz w:val="20"/>
              </w:rPr>
            </w:r>
          </w:p>
          <w:p>
            <w:pPr>
              <w:pStyle w:val="Normal"/>
              <w:tabs>
                <w:tab w:val="clear" w:pos="720"/>
              </w:tabs>
              <w:bidi w:val="0"/>
              <w:ind w:end="-738"/>
              <w:jc w:val="start"/>
              <w:rPr>
                <w:rFonts w:ascii="Arial" w:hAnsi="Arial"/>
                <w:sz w:val="20"/>
              </w:rPr>
            </w:pPr>
            <w:r>
              <w:rPr>
                <w:rFonts w:ascii="Arial" w:hAnsi="Arial"/>
                <w:sz w:val="20"/>
              </w:rPr>
            </w:r>
          </w:p>
          <w:p>
            <w:pPr>
              <w:pStyle w:val="Normal"/>
              <w:tabs>
                <w:tab w:val="clear" w:pos="720"/>
              </w:tabs>
              <w:bidi w:val="0"/>
              <w:ind w:end="-738"/>
              <w:jc w:val="start"/>
              <w:rPr>
                <w:rFonts w:ascii="Arial" w:hAnsi="Arial"/>
                <w:sz w:val="20"/>
              </w:rPr>
            </w:pPr>
            <w:r>
              <w:fldChar w:fldCharType="begin">
                <w:ffData>
                  <w:name w:val="Bookmark Copy 7"/>
                  <w:enabled/>
                  <w:ddList>
                    <w:result w:val="0"/>
                  </w:ddList>
                </w:ffData>
              </w:fldChar>
            </w:r>
            <w:r>
              <w:rPr/>
              <w:instrText xml:space="preserve"> FORMDROPDOWN </w:instrText>
            </w:r>
            <w:r>
              <w:rPr/>
              <w:fldChar w:fldCharType="separate"/>
            </w:r>
            <w:bookmarkStart w:id="12" w:name="Bookmark_Copy_7"/>
            <w:bookmarkStart w:id="13" w:name="Bookmark_Copy_7"/>
            <w:bookmarkEnd w:id="13"/>
            <w:r/>
            <w:r>
              <w:rPr/>
              <w:fldChar w:fldCharType="end"/>
            </w:r>
            <w:r>
              <w:rPr/>
            </w:r>
          </w:p>
          <w:p>
            <w:pPr>
              <w:pStyle w:val="Normal"/>
              <w:tabs>
                <w:tab w:val="clear" w:pos="720"/>
              </w:tabs>
              <w:bidi w:val="0"/>
              <w:jc w:val="start"/>
              <w:rPr>
                <w:rFonts w:ascii="Arial" w:hAnsi="Arial"/>
                <w:b/>
                <w:sz w:val="20"/>
              </w:rPr>
            </w:pPr>
            <w:r>
              <w:rPr>
                <w:rFonts w:ascii="Arial" w:hAnsi="Arial"/>
                <w:b/>
                <w:sz w:val="20"/>
              </w:rPr>
            </w:r>
          </w:p>
          <w:p>
            <w:pPr>
              <w:pStyle w:val="Normal"/>
              <w:tabs>
                <w:tab w:val="clear" w:pos="720"/>
              </w:tabs>
              <w:bidi w:val="0"/>
              <w:ind w:end="-738"/>
              <w:jc w:val="start"/>
              <w:rPr>
                <w:rFonts w:ascii="Arial" w:hAnsi="Arial"/>
                <w:sz w:val="20"/>
              </w:rPr>
            </w:pPr>
            <w:r>
              <w:rPr>
                <w:rFonts w:ascii="Arial" w:hAnsi="Arial"/>
                <w:sz w:val="20"/>
              </w:rPr>
            </w:r>
          </w:p>
          <w:p>
            <w:pPr>
              <w:pStyle w:val="Normal"/>
              <w:tabs>
                <w:tab w:val="clear" w:pos="720"/>
              </w:tabs>
              <w:bidi w:val="0"/>
              <w:ind w:end="-738"/>
              <w:jc w:val="start"/>
              <w:rPr>
                <w:rFonts w:ascii="Arial" w:hAnsi="Arial"/>
                <w:sz w:val="20"/>
              </w:rPr>
            </w:pPr>
            <w:r>
              <w:fldChar w:fldCharType="begin">
                <w:ffData>
                  <w:name w:val="Bookmark Copy 8"/>
                  <w:enabled/>
                  <w:ddList>
                    <w:result w:val="0"/>
                  </w:ddList>
                </w:ffData>
              </w:fldChar>
            </w:r>
            <w:r>
              <w:rPr/>
              <w:instrText xml:space="preserve"> FORMDROPDOWN </w:instrText>
            </w:r>
            <w:r>
              <w:rPr/>
              <w:fldChar w:fldCharType="separate"/>
            </w:r>
            <w:bookmarkStart w:id="14" w:name="Bookmark_Copy_8"/>
            <w:bookmarkStart w:id="15" w:name="Bookmark_Copy_8"/>
            <w:bookmarkEnd w:id="15"/>
            <w:r/>
            <w:r>
              <w:rPr/>
              <w:fldChar w:fldCharType="end"/>
            </w:r>
            <w:r>
              <w:rPr/>
            </w:r>
          </w:p>
          <w:p>
            <w:pPr>
              <w:pStyle w:val="Normal"/>
              <w:tabs>
                <w:tab w:val="clear" w:pos="720"/>
              </w:tabs>
              <w:bidi w:val="0"/>
              <w:jc w:val="start"/>
              <w:rPr>
                <w:rFonts w:ascii="Arial" w:hAnsi="Arial"/>
                <w:b/>
                <w:sz w:val="20"/>
              </w:rPr>
            </w:pPr>
            <w:r>
              <w:rPr>
                <w:rFonts w:ascii="Arial" w:hAnsi="Arial"/>
                <w:b/>
                <w:sz w:val="20"/>
              </w:rPr>
            </w:r>
          </w:p>
          <w:p>
            <w:pPr>
              <w:pStyle w:val="Normal"/>
              <w:tabs>
                <w:tab w:val="clear" w:pos="720"/>
              </w:tabs>
              <w:bidi w:val="0"/>
              <w:ind w:firstLine="90" w:start="-198" w:end="-738"/>
              <w:jc w:val="start"/>
              <w:rPr>
                <w:rFonts w:ascii="Arial" w:hAnsi="Arial"/>
                <w:sz w:val="20"/>
              </w:rPr>
            </w:pPr>
            <w:r>
              <w:rPr>
                <w:rFonts w:ascii="Arial" w:hAnsi="Arial"/>
                <w:sz w:val="20"/>
              </w:rPr>
            </w:r>
          </w:p>
        </w:tc>
        <w:tc>
          <w:tcPr>
            <w:tcW w:w="5032" w:type="dxa"/>
            <w:tcBorders>
              <w:top w:val="single" w:sz="8" w:space="0" w:color="000000"/>
            </w:tcBorders>
          </w:tcPr>
          <w:p>
            <w:pPr>
              <w:pStyle w:val="Normal"/>
              <w:tabs>
                <w:tab w:val="clear" w:pos="720"/>
              </w:tabs>
              <w:bidi w:val="0"/>
              <w:ind w:end="-738"/>
              <w:jc w:val="start"/>
              <w:rPr>
                <w:rFonts w:ascii="Arial" w:hAnsi="Arial"/>
                <w:sz w:val="20"/>
              </w:rPr>
            </w:pPr>
            <w:r>
              <w:rPr>
                <w:rFonts w:ascii="Arial" w:hAnsi="Arial"/>
                <w:sz w:val="20"/>
              </w:rPr>
              <w:t>Date DASH Completed:</w:t>
            </w:r>
          </w:p>
          <w:p>
            <w:pPr>
              <w:pStyle w:val="Normal"/>
              <w:tabs>
                <w:tab w:val="clear" w:pos="720"/>
              </w:tabs>
              <w:bidi w:val="0"/>
              <w:ind w:end="-738"/>
              <w:jc w:val="start"/>
              <w:rPr>
                <w:rFonts w:ascii="Arial" w:hAnsi="Arial"/>
                <w:sz w:val="20"/>
              </w:rPr>
            </w:pPr>
            <w:r>
              <w:fldChar w:fldCharType="begin">
                <w:ffData>
                  <w:name w:val="Bookmark Copy 9"/>
                  <w:enabled/>
                  <w:calcOnExit w:val="0"/>
                  <w:textInput/>
                </w:ffData>
              </w:fldChar>
            </w:r>
            <w:r>
              <w:rPr/>
              <w:instrText xml:space="preserve"> FORMTEXT </w:instrText>
            </w:r>
            <w:bookmarkStart w:id="16" w:name="Text3"/>
            <w:r>
              <w:rPr/>
            </w:r>
            <w:r>
              <w:rPr/>
              <w:fldChar w:fldCharType="separate"/>
            </w:r>
            <w:r>
              <w:rPr/>
            </w:r>
            <w:r>
              <w:rPr>
                <w:rFonts w:ascii="Arial" w:hAnsi="Arial"/>
                <w:sz w:val="20"/>
              </w:rPr>
              <w:t xml:space="preserve">November </w:t>
            </w:r>
            <w:r>
              <w:rPr>
                <w:rFonts w:ascii="Arial" w:hAnsi="Arial"/>
                <w:strike/>
                <w:sz w:val="20"/>
              </w:rPr>
              <w:t>21</w:t>
            </w:r>
            <w:r>
              <w:rPr>
                <w:rFonts w:ascii="Arial" w:hAnsi="Arial"/>
                <w:sz w:val="20"/>
              </w:rPr>
              <w:t xml:space="preserve"> </w:t>
            </w:r>
            <w:r>
              <w:rPr>
                <w:rFonts w:ascii="Arial" w:hAnsi="Arial"/>
                <w:sz w:val="20"/>
                <w:u w:val="double"/>
              </w:rPr>
              <w:t>26</w:t>
            </w:r>
            <w:r>
              <w:rPr>
                <w:rFonts w:ascii="Arial" w:hAnsi="Arial"/>
                <w:sz w:val="20"/>
              </w:rPr>
              <w:t>, 2001</w:t>
            </w:r>
            <w:r/>
            <w:r>
              <w:rPr/>
              <w:fldChar w:fldCharType="end"/>
            </w:r>
            <w:r>
              <w:rPr/>
            </w:r>
            <w:bookmarkEnd w:id="16"/>
          </w:p>
          <w:p>
            <w:pPr>
              <w:pStyle w:val="Normal"/>
              <w:tabs>
                <w:tab w:val="clear" w:pos="720"/>
              </w:tabs>
              <w:bidi w:val="0"/>
              <w:jc w:val="start"/>
              <w:rPr>
                <w:rFonts w:ascii="Arial" w:hAnsi="Arial"/>
                <w:sz w:val="20"/>
              </w:rPr>
            </w:pPr>
            <w:r>
              <w:rPr>
                <w:rFonts w:ascii="Arial" w:hAnsi="Arial"/>
                <w:sz w:val="20"/>
              </w:rPr>
            </w:r>
          </w:p>
          <w:p>
            <w:pPr>
              <w:pStyle w:val="Normal"/>
              <w:tabs>
                <w:tab w:val="clear" w:pos="720"/>
              </w:tabs>
              <w:bidi w:val="0"/>
              <w:ind w:end="-738"/>
              <w:jc w:val="start"/>
              <w:rPr>
                <w:rFonts w:ascii="Arial" w:hAnsi="Arial"/>
                <w:color w:val="0000FF"/>
                <w:sz w:val="20"/>
              </w:rPr>
            </w:pPr>
            <w:r>
              <w:rPr>
                <w:rFonts w:ascii="Arial" w:hAnsi="Arial"/>
                <w:color w:val="0000FF"/>
                <w:sz w:val="20"/>
              </w:rPr>
              <w:t>RAC Representative:</w:t>
            </w:r>
          </w:p>
          <w:p>
            <w:pPr>
              <w:pStyle w:val="Normal"/>
              <w:tabs>
                <w:tab w:val="clear" w:pos="720"/>
              </w:tabs>
              <w:bidi w:val="0"/>
              <w:ind w:end="-738"/>
              <w:jc w:val="start"/>
              <w:rPr>
                <w:rFonts w:ascii="Arial" w:hAnsi="Arial"/>
                <w:sz w:val="20"/>
              </w:rPr>
            </w:pPr>
            <w:r>
              <w:fldChar w:fldCharType="begin">
                <w:ffData>
                  <w:name w:val="Bookmark Copy 10"/>
                  <w:enabled/>
                  <w:ddList>
                    <w:result w:val="0"/>
                  </w:ddList>
                </w:ffData>
              </w:fldChar>
            </w:r>
            <w:r>
              <w:rPr/>
              <w:instrText xml:space="preserve"> FORMDROPDOWN </w:instrText>
            </w:r>
            <w:r>
              <w:rPr/>
              <w:fldChar w:fldCharType="separate"/>
            </w:r>
            <w:bookmarkStart w:id="17" w:name="Dropdown7"/>
            <w:bookmarkStart w:id="18" w:name="Bookmark_Copy_10"/>
            <w:bookmarkStart w:id="19" w:name="Bookmark_Copy_10"/>
            <w:bookmarkEnd w:id="19"/>
            <w:r/>
            <w:r>
              <w:rPr/>
              <w:fldChar w:fldCharType="end"/>
            </w:r>
            <w:r>
              <w:rPr/>
            </w:r>
            <w:bookmarkEnd w:id="17"/>
          </w:p>
          <w:p>
            <w:pPr>
              <w:pStyle w:val="Normal"/>
              <w:tabs>
                <w:tab w:val="clear" w:pos="720"/>
              </w:tabs>
              <w:bidi w:val="0"/>
              <w:jc w:val="start"/>
              <w:rPr>
                <w:rFonts w:ascii="Arial" w:hAnsi="Arial"/>
                <w:sz w:val="20"/>
              </w:rPr>
            </w:pPr>
            <w:r>
              <w:rPr>
                <w:rFonts w:ascii="Arial" w:hAnsi="Arial"/>
                <w:sz w:val="20"/>
              </w:rPr>
            </w:r>
          </w:p>
          <w:p>
            <w:pPr>
              <w:pStyle w:val="Normal"/>
              <w:tabs>
                <w:tab w:val="clear" w:pos="720"/>
              </w:tabs>
              <w:bidi w:val="0"/>
              <w:ind w:end="-738"/>
              <w:jc w:val="start"/>
              <w:rPr>
                <w:rFonts w:ascii="Arial" w:hAnsi="Arial"/>
                <w:sz w:val="20"/>
              </w:rPr>
            </w:pPr>
            <w:r>
              <w:rPr>
                <w:rFonts w:ascii="Arial" w:hAnsi="Arial"/>
                <w:sz w:val="20"/>
              </w:rPr>
              <w:t>RAC Analyst:</w:t>
            </w:r>
          </w:p>
          <w:p>
            <w:pPr>
              <w:pStyle w:val="Normal"/>
              <w:tabs>
                <w:tab w:val="clear" w:pos="720"/>
              </w:tabs>
              <w:bidi w:val="0"/>
              <w:ind w:end="-738"/>
              <w:jc w:val="start"/>
              <w:rPr>
                <w:rFonts w:ascii="Arial" w:hAnsi="Arial"/>
                <w:sz w:val="20"/>
              </w:rPr>
            </w:pPr>
            <w:r>
              <w:fldChar w:fldCharType="begin">
                <w:ffData>
                  <w:name w:val="Bookmark Copy 11"/>
                  <w:enabled/>
                  <w:calcOnExit w:val="0"/>
                  <w:textInput/>
                </w:ffData>
              </w:fldChar>
            </w:r>
            <w:r>
              <w:rPr/>
              <w:instrText xml:space="preserve"> FORMTEXT </w:instrText>
            </w:r>
            <w:bookmarkStart w:id="20" w:name="Text4"/>
            <w:r>
              <w:rPr/>
            </w:r>
            <w:r>
              <w:rPr/>
              <w:fldChar w:fldCharType="separate"/>
            </w:r>
            <w:r>
              <w:rPr/>
            </w:r>
            <w:r>
              <w:rPr>
                <w:rFonts w:ascii="Arial" w:hAnsi="Arial"/>
                <w:sz w:val="20"/>
              </w:rPr>
              <w:t>Andre Cangucu</w:t>
            </w:r>
            <w:r/>
            <w:r>
              <w:rPr/>
              <w:fldChar w:fldCharType="end"/>
            </w:r>
            <w:r>
              <w:rPr/>
            </w:r>
            <w:bookmarkEnd w:id="20"/>
          </w:p>
          <w:p>
            <w:pPr>
              <w:pStyle w:val="Normal"/>
              <w:tabs>
                <w:tab w:val="clear" w:pos="720"/>
              </w:tabs>
              <w:bidi w:val="0"/>
              <w:jc w:val="start"/>
              <w:rPr>
                <w:rFonts w:ascii="Arial" w:hAnsi="Arial"/>
                <w:sz w:val="20"/>
              </w:rPr>
            </w:pPr>
            <w:r>
              <w:rPr>
                <w:rFonts w:ascii="Arial" w:hAnsi="Arial"/>
                <w:sz w:val="20"/>
              </w:rPr>
            </w:r>
          </w:p>
          <w:p>
            <w:pPr>
              <w:pStyle w:val="Normal"/>
              <w:tabs>
                <w:tab w:val="clear" w:pos="720"/>
              </w:tabs>
              <w:bidi w:val="0"/>
              <w:ind w:end="-738"/>
              <w:jc w:val="start"/>
              <w:rPr>
                <w:rFonts w:ascii="Arial" w:hAnsi="Arial"/>
                <w:color w:val="0000FF"/>
                <w:sz w:val="20"/>
              </w:rPr>
            </w:pPr>
            <w:r>
              <w:rPr>
                <w:rFonts w:ascii="Arial" w:hAnsi="Arial"/>
                <w:color w:val="0000FF"/>
                <w:sz w:val="20"/>
              </w:rPr>
              <w:t>Transaction Type:</w:t>
            </w:r>
          </w:p>
          <w:p>
            <w:pPr>
              <w:pStyle w:val="Normal"/>
              <w:tabs>
                <w:tab w:val="clear" w:pos="720"/>
              </w:tabs>
              <w:bidi w:val="0"/>
              <w:ind w:end="-738"/>
              <w:jc w:val="start"/>
              <w:rPr>
                <w:rFonts w:ascii="Arial" w:hAnsi="Arial"/>
                <w:color w:val="0000FF"/>
                <w:sz w:val="20"/>
              </w:rPr>
            </w:pPr>
            <w:r>
              <w:fldChar w:fldCharType="begin">
                <w:ffData>
                  <w:name w:val="Bookmark Copy 12"/>
                  <w:enabled/>
                  <w:ddList>
                    <w:result w:val="0"/>
                  </w:ddList>
                </w:ffData>
              </w:fldChar>
            </w:r>
            <w:r>
              <w:rPr/>
              <w:instrText xml:space="preserve"> FORMDROPDOWN </w:instrText>
            </w:r>
            <w:r>
              <w:rPr/>
              <w:fldChar w:fldCharType="separate"/>
            </w:r>
            <w:bookmarkStart w:id="21" w:name="Dropdown3"/>
            <w:bookmarkStart w:id="22" w:name="Bookmark_Copy_12"/>
            <w:bookmarkStart w:id="23" w:name="Bookmark_Copy_12"/>
            <w:bookmarkEnd w:id="23"/>
            <w:r/>
            <w:r>
              <w:rPr/>
              <w:fldChar w:fldCharType="end"/>
            </w:r>
            <w:r>
              <w:rPr/>
            </w:r>
            <w:bookmarkEnd w:id="21"/>
          </w:p>
          <w:p>
            <w:pPr>
              <w:pStyle w:val="Normal"/>
              <w:tabs>
                <w:tab w:val="clear" w:pos="720"/>
              </w:tabs>
              <w:bidi w:val="0"/>
              <w:jc w:val="start"/>
              <w:rPr>
                <w:rFonts w:ascii="Arial" w:hAnsi="Arial"/>
                <w:sz w:val="20"/>
              </w:rPr>
            </w:pPr>
            <w:r>
              <w:rPr>
                <w:rFonts w:ascii="Arial" w:hAnsi="Arial"/>
                <w:sz w:val="20"/>
              </w:rPr>
            </w:r>
          </w:p>
          <w:p>
            <w:pPr>
              <w:pStyle w:val="Normal"/>
              <w:tabs>
                <w:tab w:val="clear" w:pos="720"/>
              </w:tabs>
              <w:bidi w:val="0"/>
              <w:ind w:end="-738"/>
              <w:jc w:val="start"/>
              <w:rPr>
                <w:rFonts w:ascii="Arial" w:hAnsi="Arial"/>
                <w:color w:val="0000FF"/>
                <w:sz w:val="20"/>
              </w:rPr>
            </w:pPr>
            <w:r>
              <w:rPr>
                <w:rFonts w:ascii="Arial" w:hAnsi="Arial"/>
                <w:color w:val="0000FF"/>
                <w:sz w:val="20"/>
              </w:rPr>
              <w:t>Capital Funding Source:</w:t>
            </w:r>
          </w:p>
          <w:p>
            <w:pPr>
              <w:pStyle w:val="Normal"/>
              <w:tabs>
                <w:tab w:val="clear" w:pos="720"/>
              </w:tabs>
              <w:bidi w:val="0"/>
              <w:ind w:end="-738"/>
              <w:jc w:val="start"/>
              <w:rPr>
                <w:rFonts w:ascii="Arial" w:hAnsi="Arial"/>
                <w:color w:val="0000FF"/>
                <w:sz w:val="20"/>
              </w:rPr>
            </w:pPr>
            <w:r>
              <w:fldChar w:fldCharType="begin">
                <w:ffData>
                  <w:name w:val="Bookmark Copy 13"/>
                  <w:enabled/>
                  <w:ddList>
                    <w:result w:val="0"/>
                  </w:ddList>
                </w:ffData>
              </w:fldChar>
            </w:r>
            <w:r>
              <w:rPr/>
              <w:instrText xml:space="preserve"> FORMDROPDOWN </w:instrText>
            </w:r>
            <w:r>
              <w:rPr/>
              <w:fldChar w:fldCharType="separate"/>
            </w:r>
            <w:bookmarkStart w:id="24" w:name="Dropdown2"/>
            <w:bookmarkStart w:id="25" w:name="Bookmark_Copy_13"/>
            <w:bookmarkStart w:id="26" w:name="Bookmark_Copy_13"/>
            <w:bookmarkEnd w:id="26"/>
            <w:r/>
            <w:r>
              <w:rPr/>
              <w:fldChar w:fldCharType="end"/>
            </w:r>
            <w:r>
              <w:rPr/>
            </w:r>
            <w:bookmarkEnd w:id="24"/>
          </w:p>
          <w:p>
            <w:pPr>
              <w:pStyle w:val="Normal"/>
              <w:tabs>
                <w:tab w:val="clear" w:pos="720"/>
              </w:tabs>
              <w:bidi w:val="0"/>
              <w:jc w:val="start"/>
              <w:rPr>
                <w:rFonts w:ascii="Arial" w:hAnsi="Arial"/>
                <w:sz w:val="20"/>
              </w:rPr>
            </w:pPr>
            <w:r>
              <w:rPr>
                <w:rFonts w:ascii="Arial" w:hAnsi="Arial"/>
                <w:sz w:val="20"/>
              </w:rPr>
            </w:r>
          </w:p>
          <w:p>
            <w:pPr>
              <w:pStyle w:val="Normal"/>
              <w:tabs>
                <w:tab w:val="clear" w:pos="720"/>
              </w:tabs>
              <w:bidi w:val="0"/>
              <w:ind w:end="-738"/>
              <w:jc w:val="start"/>
              <w:rPr>
                <w:rFonts w:ascii="Arial" w:hAnsi="Arial"/>
                <w:color w:val="0000FF"/>
                <w:sz w:val="20"/>
              </w:rPr>
            </w:pPr>
            <w:r>
              <w:rPr>
                <w:rFonts w:ascii="Arial" w:hAnsi="Arial"/>
                <w:color w:val="0000FF"/>
                <w:sz w:val="20"/>
              </w:rPr>
              <w:t>Country:</w:t>
            </w:r>
          </w:p>
          <w:p>
            <w:pPr>
              <w:pStyle w:val="Normal"/>
              <w:tabs>
                <w:tab w:val="clear" w:pos="720"/>
              </w:tabs>
              <w:bidi w:val="0"/>
              <w:ind w:end="-738"/>
              <w:jc w:val="start"/>
              <w:rPr>
                <w:rFonts w:ascii="Arial" w:hAnsi="Arial"/>
                <w:sz w:val="20"/>
              </w:rPr>
            </w:pPr>
            <w:r>
              <w:fldChar w:fldCharType="begin">
                <w:ffData>
                  <w:name w:val="Bookmark Copy 14"/>
                  <w:enabled/>
                  <w:calcOnExit w:val="0"/>
                  <w:textInput/>
                </w:ffData>
              </w:fldChar>
            </w:r>
            <w:r>
              <w:rPr/>
              <w:instrText xml:space="preserve"> FORMTEXT </w:instrText>
            </w:r>
            <w:bookmarkStart w:id="27" w:name="UserForm"/>
            <w:r>
              <w:rPr/>
            </w:r>
            <w:r>
              <w:rPr/>
              <w:fldChar w:fldCharType="separate"/>
            </w:r>
            <w:r>
              <w:rPr/>
            </w:r>
            <w:r>
              <w:rPr>
                <w:rFonts w:ascii="Arial" w:hAnsi="Arial"/>
                <w:sz w:val="20"/>
              </w:rPr>
              <w:t>Brazil</w:t>
            </w:r>
            <w:r/>
            <w:r>
              <w:rPr/>
              <w:fldChar w:fldCharType="end"/>
            </w:r>
            <w:r>
              <w:rPr/>
            </w:r>
            <w:bookmarkEnd w:id="27"/>
          </w:p>
          <w:p>
            <w:pPr>
              <w:pStyle w:val="Normal"/>
              <w:tabs>
                <w:tab w:val="clear" w:pos="720"/>
              </w:tabs>
              <w:bidi w:val="0"/>
              <w:jc w:val="start"/>
              <w:rPr>
                <w:rFonts w:ascii="Arial" w:hAnsi="Arial"/>
                <w:sz w:val="20"/>
              </w:rPr>
            </w:pPr>
            <w:r>
              <w:rPr>
                <w:rFonts w:ascii="Arial" w:hAnsi="Arial"/>
                <w:sz w:val="20"/>
              </w:rPr>
            </w:r>
          </w:p>
          <w:p>
            <w:pPr>
              <w:pStyle w:val="Normal"/>
              <w:tabs>
                <w:tab w:val="clear" w:pos="720"/>
              </w:tabs>
              <w:bidi w:val="0"/>
              <w:ind w:end="-738"/>
              <w:jc w:val="start"/>
              <w:rPr>
                <w:rFonts w:ascii="Arial" w:hAnsi="Arial"/>
                <w:sz w:val="20"/>
              </w:rPr>
            </w:pPr>
            <w:r>
              <w:rPr>
                <w:rFonts w:ascii="Arial" w:hAnsi="Arial"/>
                <w:sz w:val="20"/>
              </w:rPr>
              <w:t>Expected Closing Date:</w:t>
            </w:r>
          </w:p>
          <w:p>
            <w:pPr>
              <w:pStyle w:val="Normal"/>
              <w:tabs>
                <w:tab w:val="clear" w:pos="720"/>
              </w:tabs>
              <w:bidi w:val="0"/>
              <w:ind w:end="-738"/>
              <w:jc w:val="start"/>
              <w:rPr>
                <w:rFonts w:ascii="Arial" w:hAnsi="Arial"/>
                <w:sz w:val="20"/>
              </w:rPr>
            </w:pPr>
            <w:r>
              <w:fldChar w:fldCharType="begin">
                <w:ffData>
                  <w:name w:val="Bookmark Copy 15"/>
                  <w:enabled/>
                  <w:calcOnExit w:val="0"/>
                  <w:textInput/>
                </w:ffData>
              </w:fldChar>
            </w:r>
            <w:r>
              <w:rPr/>
              <w:instrText xml:space="preserve"> FORMTEXT </w:instrText>
            </w:r>
            <w:bookmarkStart w:id="28" w:name="Text6"/>
            <w:r>
              <w:rPr/>
            </w:r>
            <w:r>
              <w:rPr/>
              <w:fldChar w:fldCharType="separate"/>
            </w:r>
            <w:r>
              <w:rPr/>
            </w:r>
            <w:r>
              <w:rPr>
                <w:rFonts w:ascii="Arial" w:hAnsi="Arial"/>
                <w:sz w:val="20"/>
              </w:rPr>
              <w:t>April 29, 2001</w:t>
            </w:r>
            <w:r/>
            <w:r>
              <w:rPr/>
              <w:fldChar w:fldCharType="end"/>
            </w:r>
            <w:r>
              <w:rPr/>
            </w:r>
            <w:bookmarkEnd w:id="28"/>
          </w:p>
          <w:p>
            <w:pPr>
              <w:pStyle w:val="Normal"/>
              <w:tabs>
                <w:tab w:val="clear" w:pos="720"/>
              </w:tabs>
              <w:bidi w:val="0"/>
              <w:jc w:val="start"/>
              <w:rPr>
                <w:rFonts w:ascii="Arial" w:hAnsi="Arial"/>
                <w:sz w:val="20"/>
              </w:rPr>
            </w:pPr>
            <w:r>
              <w:rPr>
                <w:rFonts w:ascii="Arial" w:hAnsi="Arial"/>
                <w:sz w:val="20"/>
              </w:rPr>
            </w:r>
          </w:p>
          <w:p>
            <w:pPr>
              <w:pStyle w:val="Normal"/>
              <w:tabs>
                <w:tab w:val="clear" w:pos="720"/>
              </w:tabs>
              <w:bidi w:val="0"/>
              <w:ind w:end="-738"/>
              <w:jc w:val="start"/>
              <w:rPr>
                <w:rFonts w:ascii="Arial" w:hAnsi="Arial"/>
                <w:sz w:val="20"/>
              </w:rPr>
            </w:pPr>
            <w:r>
              <w:rPr>
                <w:rFonts w:ascii="Arial" w:hAnsi="Arial"/>
                <w:sz w:val="20"/>
              </w:rPr>
              <w:t>Expected Funding Date:</w:t>
            </w:r>
          </w:p>
          <w:p>
            <w:pPr>
              <w:pStyle w:val="Normal"/>
              <w:tabs>
                <w:tab w:val="clear" w:pos="720"/>
              </w:tabs>
              <w:bidi w:val="0"/>
              <w:ind w:end="-738"/>
              <w:jc w:val="start"/>
              <w:rPr>
                <w:rFonts w:ascii="Arial" w:hAnsi="Arial"/>
                <w:sz w:val="20"/>
              </w:rPr>
            </w:pPr>
            <w:r>
              <w:fldChar w:fldCharType="begin">
                <w:ffData>
                  <w:name w:val="Bookmark Copy 16"/>
                  <w:enabled/>
                  <w:calcOnExit w:val="0"/>
                  <w:textInput/>
                </w:ffData>
              </w:fldChar>
            </w:r>
            <w:r>
              <w:rPr/>
              <w:instrText xml:space="preserve"> FORMTEXT </w:instrText>
            </w:r>
            <w:bookmarkStart w:id="29" w:name="Text7"/>
            <w:r>
              <w:rPr/>
            </w:r>
            <w:r>
              <w:rPr/>
              <w:fldChar w:fldCharType="separate"/>
            </w:r>
            <w:r>
              <w:rPr/>
            </w:r>
            <w:r>
              <w:rPr>
                <w:rFonts w:ascii="Arial" w:hAnsi="Arial"/>
                <w:sz w:val="20"/>
              </w:rPr>
              <w:t xml:space="preserve"> November 27, 2001</w:t>
            </w:r>
            <w:r/>
            <w:r>
              <w:rPr/>
              <w:fldChar w:fldCharType="end"/>
            </w:r>
            <w:r>
              <w:rPr/>
            </w:r>
            <w:bookmarkEnd w:id="29"/>
          </w:p>
          <w:p>
            <w:pPr>
              <w:pStyle w:val="Normal"/>
              <w:tabs>
                <w:tab w:val="clear" w:pos="720"/>
              </w:tabs>
              <w:bidi w:val="0"/>
              <w:jc w:val="start"/>
              <w:rPr>
                <w:rFonts w:ascii="Arial" w:hAnsi="Arial"/>
                <w:sz w:val="20"/>
              </w:rPr>
            </w:pPr>
            <w:r>
              <w:rPr>
                <w:rFonts w:ascii="Arial" w:hAnsi="Arial"/>
                <w:sz w:val="20"/>
              </w:rPr>
            </w:r>
          </w:p>
          <w:p>
            <w:pPr>
              <w:pStyle w:val="Normal"/>
              <w:tabs>
                <w:tab w:val="clear" w:pos="720"/>
              </w:tabs>
              <w:bidi w:val="0"/>
              <w:jc w:val="start"/>
              <w:rPr>
                <w:rFonts w:ascii="Arial" w:hAnsi="Arial"/>
                <w:sz w:val="20"/>
              </w:rPr>
            </w:pPr>
            <w:r>
              <w:rPr>
                <w:rFonts w:ascii="Arial" w:hAnsi="Arial"/>
                <w:sz w:val="20"/>
              </w:rPr>
            </w:r>
          </w:p>
        </w:tc>
      </w:tr>
      <w:tr>
        <w:trPr>
          <w:trHeight w:val="485" w:hRule="atLeast"/>
          <w:cantSplit w:val="true"/>
        </w:trPr>
        <w:tc>
          <w:tcPr>
            <w:tcW w:w="2250" w:type="dxa"/>
            <w:tcBorders>
              <w:top w:val="single" w:sz="8" w:space="0" w:color="000000"/>
            </w:tcBorders>
          </w:tcPr>
          <w:p>
            <w:pPr>
              <w:pStyle w:val="Normal"/>
              <w:tabs>
                <w:tab w:val="clear" w:pos="720"/>
              </w:tabs>
              <w:bidi w:val="0"/>
              <w:ind w:end="-738"/>
              <w:jc w:val="start"/>
              <w:rPr/>
            </w:pPr>
            <w:r>
              <w:rPr>
                <w:rFonts w:ascii="Arial" w:hAnsi="Arial"/>
                <w:sz w:val="20"/>
              </w:rPr>
              <w:t>RAC Recommendation:</w:t>
            </w:r>
          </w:p>
        </w:tc>
        <w:tc>
          <w:tcPr>
            <w:tcW w:w="3060" w:type="dxa"/>
            <w:tcBorders>
              <w:top w:val="single" w:sz="8" w:space="0" w:color="000000"/>
            </w:tcBorders>
          </w:tcPr>
          <w:p>
            <w:pPr>
              <w:pStyle w:val="Normal"/>
              <w:tabs>
                <w:tab w:val="clear" w:pos="720"/>
              </w:tabs>
              <w:bidi w:val="0"/>
              <w:ind w:end="-738"/>
              <w:jc w:val="start"/>
              <w:rPr>
                <w:rFonts w:ascii="Arial" w:hAnsi="Arial"/>
                <w:sz w:val="20"/>
              </w:rPr>
            </w:pPr>
            <w:r>
              <w:fldChar w:fldCharType="begin">
                <w:ffData>
                  <w:name w:val="Bookmark Copy 17"/>
                  <w:enabled/>
                  <w:calcOnExit w:val="0"/>
                  <w:checkBox>
                    <w:sizeAuto/>
                  </w:checkBox>
                </w:ffData>
              </w:fldChar>
            </w:r>
            <w:r>
              <w:rPr/>
              <w:instrText xml:space="preserve"> FORMCHECKBOX </w:instrText>
            </w:r>
            <w:r>
              <w:rPr/>
              <w:fldChar w:fldCharType="separate"/>
            </w:r>
            <w:bookmarkStart w:id="30" w:name="Check1"/>
            <w:bookmarkStart w:id="31" w:name="Bookmark_Copy_17"/>
            <w:bookmarkStart w:id="32" w:name="Bookmark_Copy_17"/>
            <w:bookmarkEnd w:id="32"/>
            <w:r>
              <w:rPr/>
            </w:r>
            <w:r>
              <w:rPr/>
              <w:fldChar w:fldCharType="end"/>
            </w:r>
            <w:bookmarkEnd w:id="30"/>
            <w:r>
              <w:rPr>
                <w:rFonts w:ascii="Arial" w:hAnsi="Arial"/>
                <w:sz w:val="20"/>
              </w:rPr>
              <w:t xml:space="preserve"> Proceed with Transaction </w:t>
            </w:r>
          </w:p>
          <w:p>
            <w:pPr>
              <w:pStyle w:val="Normal"/>
              <w:tabs>
                <w:tab w:val="clear" w:pos="720"/>
              </w:tabs>
              <w:bidi w:val="0"/>
              <w:ind w:end="-738"/>
              <w:jc w:val="start"/>
              <w:rPr/>
            </w:pPr>
            <w:r>
              <w:fldChar w:fldCharType="begin">
                <w:ffData>
                  <w:name w:val="Bookmark Copy 18"/>
                  <w:enabled/>
                  <w:calcOnExit w:val="0"/>
                  <w:checkBox>
                    <w:sizeAuto/>
                  </w:checkBox>
                </w:ffData>
              </w:fldChar>
            </w:r>
            <w:r>
              <w:rPr/>
              <w:instrText xml:space="preserve"> FORMCHECKBOX </w:instrText>
            </w:r>
            <w:r>
              <w:rPr/>
              <w:fldChar w:fldCharType="separate"/>
            </w:r>
            <w:bookmarkStart w:id="33" w:name="Check3"/>
            <w:bookmarkStart w:id="34" w:name="Bookmark_Copy_18"/>
            <w:bookmarkStart w:id="35" w:name="Bookmark_Copy_18"/>
            <w:bookmarkEnd w:id="35"/>
            <w:r>
              <w:rPr/>
            </w:r>
            <w:r>
              <w:rPr/>
              <w:fldChar w:fldCharType="end"/>
            </w:r>
            <w:bookmarkEnd w:id="33"/>
            <w:r>
              <w:rPr>
                <w:rFonts w:ascii="Arial" w:hAnsi="Arial"/>
                <w:sz w:val="20"/>
              </w:rPr>
              <w:t xml:space="preserve"> Do not Proceed </w:t>
            </w:r>
          </w:p>
        </w:tc>
        <w:tc>
          <w:tcPr>
            <w:tcW w:w="5112" w:type="dxa"/>
            <w:gridSpan w:val="2"/>
            <w:tcBorders>
              <w:top w:val="single" w:sz="8" w:space="0" w:color="000000"/>
            </w:tcBorders>
          </w:tcPr>
          <w:p>
            <w:pPr>
              <w:pStyle w:val="Normal"/>
              <w:tabs>
                <w:tab w:val="clear" w:pos="720"/>
              </w:tabs>
              <w:bidi w:val="0"/>
              <w:ind w:end="-738"/>
              <w:jc w:val="start"/>
              <w:rPr>
                <w:rFonts w:ascii="Arial" w:hAnsi="Arial"/>
                <w:sz w:val="20"/>
              </w:rPr>
            </w:pPr>
            <w:r>
              <w:fldChar w:fldCharType="begin">
                <w:ffData>
                  <w:name w:val="Bookmark Copy 19"/>
                  <w:enabled/>
                  <w:calcOnExit w:val="0"/>
                  <w:checkBox>
                    <w:sizeAuto/>
                  </w:checkBox>
                </w:ffData>
              </w:fldChar>
            </w:r>
            <w:r>
              <w:rPr/>
              <w:instrText xml:space="preserve"> FORMCHECKBOX </w:instrText>
            </w:r>
            <w:r>
              <w:rPr/>
              <w:fldChar w:fldCharType="separate"/>
            </w:r>
            <w:bookmarkStart w:id="36" w:name="Check2"/>
            <w:bookmarkStart w:id="37" w:name="Bookmark_Copy_19"/>
            <w:bookmarkStart w:id="38" w:name="Bookmark_Copy_19"/>
            <w:bookmarkEnd w:id="38"/>
            <w:r>
              <w:rPr/>
            </w:r>
            <w:r>
              <w:rPr/>
              <w:fldChar w:fldCharType="end"/>
            </w:r>
            <w:bookmarkEnd w:id="36"/>
            <w:r>
              <w:rPr>
                <w:rFonts w:ascii="Arial" w:hAnsi="Arial"/>
                <w:sz w:val="20"/>
              </w:rPr>
              <w:t xml:space="preserve"> Returns below Capital Price </w:t>
            </w:r>
          </w:p>
          <w:p>
            <w:pPr>
              <w:pStyle w:val="Normal"/>
              <w:tabs>
                <w:tab w:val="clear" w:pos="720"/>
              </w:tabs>
              <w:bidi w:val="0"/>
              <w:ind w:end="-738"/>
              <w:jc w:val="start"/>
              <w:rPr>
                <w:rFonts w:ascii="Arial" w:hAnsi="Arial"/>
                <w:sz w:val="20"/>
              </w:rPr>
            </w:pPr>
            <w:r>
              <w:rPr>
                <w:rFonts w:ascii="Arial" w:hAnsi="Arial"/>
                <w:sz w:val="20"/>
              </w:rPr>
            </w:r>
          </w:p>
        </w:tc>
      </w:tr>
      <w:tr>
        <w:trPr>
          <w:trHeight w:val="232" w:hRule="atLeast"/>
          <w:cantSplit w:val="true"/>
        </w:trPr>
        <w:tc>
          <w:tcPr>
            <w:tcW w:w="2250" w:type="dxa"/>
            <w:tcBorders/>
          </w:tcPr>
          <w:p>
            <w:pPr>
              <w:pStyle w:val="Normal"/>
              <w:tabs>
                <w:tab w:val="clear" w:pos="720"/>
              </w:tabs>
              <w:bidi w:val="0"/>
              <w:ind w:end="-738"/>
              <w:jc w:val="start"/>
              <w:rPr/>
            </w:pPr>
            <w:r>
              <w:rPr>
                <w:rFonts w:ascii="Arial" w:hAnsi="Arial"/>
                <w:color w:val="0000FF"/>
                <w:sz w:val="20"/>
              </w:rPr>
              <w:t>Board Approval:</w:t>
            </w:r>
          </w:p>
        </w:tc>
        <w:tc>
          <w:tcPr>
            <w:tcW w:w="8172" w:type="dxa"/>
            <w:gridSpan w:val="3"/>
            <w:tcBorders/>
          </w:tcPr>
          <w:p>
            <w:pPr>
              <w:pStyle w:val="Normal"/>
              <w:tabs>
                <w:tab w:val="clear" w:pos="720"/>
              </w:tabs>
              <w:bidi w:val="0"/>
              <w:ind w:end="-738"/>
              <w:jc w:val="start"/>
              <w:rPr/>
            </w:pPr>
            <w:r>
              <w:fldChar w:fldCharType="begin">
                <w:ffData>
                  <w:name w:val="Bookmark Copy 20"/>
                  <w:enabled/>
                  <w:ddList>
                    <w:result w:val="0"/>
                  </w:ddList>
                </w:ffData>
              </w:fldChar>
            </w:r>
            <w:r>
              <w:rPr/>
              <w:instrText xml:space="preserve"> FORMDROPDOWN </w:instrText>
            </w:r>
            <w:r>
              <w:rPr/>
              <w:fldChar w:fldCharType="separate"/>
            </w:r>
            <w:bookmarkStart w:id="39" w:name="Dropdown1"/>
            <w:bookmarkStart w:id="40" w:name="Bookmark_Copy_20"/>
            <w:bookmarkStart w:id="41" w:name="Bookmark_Copy_20"/>
            <w:bookmarkEnd w:id="41"/>
            <w:r/>
            <w:r>
              <w:rPr/>
              <w:fldChar w:fldCharType="end"/>
            </w:r>
            <w:r>
              <w:rPr/>
            </w:r>
            <w:bookmarkEnd w:id="39"/>
          </w:p>
        </w:tc>
      </w:tr>
    </w:tbl>
    <w:p>
      <w:pPr>
        <w:sectPr>
          <w:type w:val="continuous"/>
          <w:pgSz w:w="12240" w:h="15840"/>
          <w:pgMar w:left="1008" w:right="1008" w:gutter="0" w:header="720" w:top="777" w:footer="720" w:bottom="777"/>
          <w:formProt w:val="false"/>
          <w:titlePg/>
          <w:textDirection w:val="lrTb"/>
          <w:docGrid w:type="default" w:linePitch="600" w:charSpace="32768"/>
        </w:sectPr>
      </w:pPr>
    </w:p>
    <w:p>
      <w:pPr>
        <w:pStyle w:val="Heading4"/>
        <w:pBdr>
          <w:top w:val="single" w:sz="8" w:space="1" w:color="000000"/>
        </w:pBdr>
        <w:tabs>
          <w:tab w:val="clear" w:pos="9990"/>
          <w:tab w:val="left" w:pos="10260" w:leader="none"/>
        </w:tabs>
        <w:bidi w:val="0"/>
        <w:jc w:val="start"/>
        <w:rPr>
          <w:rFonts w:ascii="Arial" w:hAnsi="Arial"/>
        </w:rPr>
      </w:pPr>
      <w:r>
        <w:rPr>
          <w:rFonts w:ascii="Arial" w:hAnsi="Arial"/>
        </w:rPr>
        <w:t>APPROVAL AMOUNT REQUESTED ($000,000s)</w:t>
      </w:r>
    </w:p>
    <w:tbl>
      <w:tblPr>
        <w:tblW w:w="10098" w:type="dxa"/>
        <w:jc w:val="start"/>
        <w:tblInd w:w="360" w:type="dxa"/>
        <w:tblLayout w:type="fixed"/>
        <w:tblCellMar>
          <w:top w:w="0" w:type="dxa"/>
          <w:start w:w="108" w:type="dxa"/>
          <w:bottom w:w="0" w:type="dxa"/>
          <w:end w:w="108" w:type="dxa"/>
        </w:tblCellMar>
      </w:tblPr>
      <w:tblGrid>
        <w:gridCol w:w="4427"/>
        <w:gridCol w:w="1332"/>
        <w:gridCol w:w="4339"/>
      </w:tblGrid>
      <w:tr>
        <w:trPr>
          <w:cantSplit w:val="true"/>
        </w:trPr>
        <w:tc>
          <w:tcPr>
            <w:tcW w:w="4427" w:type="dxa"/>
            <w:tcBorders/>
          </w:tcPr>
          <w:p>
            <w:pPr>
              <w:pStyle w:val="Normal"/>
              <w:tabs>
                <w:tab w:val="clear" w:pos="720"/>
              </w:tabs>
              <w:bidi w:val="0"/>
              <w:ind w:end="-36"/>
              <w:jc w:val="start"/>
              <w:rPr/>
            </w:pPr>
            <w:r>
              <w:rPr>
                <w:rFonts w:ascii="Arial" w:hAnsi="Arial"/>
                <w:sz w:val="20"/>
              </w:rPr>
              <w:t>Divestiture Proceeds</w:t>
            </w:r>
          </w:p>
        </w:tc>
        <w:tc>
          <w:tcPr>
            <w:tcW w:w="1332" w:type="dxa"/>
            <w:tcBorders/>
          </w:tcPr>
          <w:p>
            <w:pPr>
              <w:pStyle w:val="Normal"/>
              <w:tabs>
                <w:tab w:val="clear" w:pos="720"/>
              </w:tabs>
              <w:bidi w:val="0"/>
              <w:ind w:end="-36"/>
              <w:jc w:val="end"/>
              <w:rPr/>
            </w:pPr>
            <w:r>
              <w:rPr>
                <w:rFonts w:ascii="Arial" w:hAnsi="Arial"/>
                <w:sz w:val="20"/>
              </w:rPr>
              <w:t>$241.0</w:t>
            </w:r>
          </w:p>
        </w:tc>
        <w:tc>
          <w:tcPr>
            <w:tcW w:w="4339" w:type="dxa"/>
            <w:tcBorders/>
          </w:tcPr>
          <w:p>
            <w:pPr>
              <w:pStyle w:val="Normal"/>
              <w:tabs>
                <w:tab w:val="clear" w:pos="720"/>
              </w:tabs>
              <w:bidi w:val="0"/>
              <w:ind w:end="-36"/>
              <w:jc w:val="start"/>
              <w:rPr/>
            </w:pPr>
            <w:r>
              <w:rPr>
                <w:rFonts w:ascii="Arial" w:hAnsi="Arial"/>
                <w:strike/>
                <w:sz w:val="20"/>
              </w:rPr>
              <w:t>(1)</w:t>
            </w:r>
            <w:r>
              <w:rPr>
                <w:rFonts w:ascii="Arial" w:hAnsi="Arial"/>
                <w:sz w:val="20"/>
                <w:u w:val="double"/>
              </w:rPr>
              <w:t>(1,2)</w:t>
            </w:r>
          </w:p>
        </w:tc>
      </w:tr>
      <w:tr>
        <w:trPr>
          <w:cantSplit w:val="true"/>
        </w:trPr>
        <w:tc>
          <w:tcPr>
            <w:tcW w:w="4427" w:type="dxa"/>
            <w:tcBorders/>
          </w:tcPr>
          <w:p>
            <w:pPr>
              <w:pStyle w:val="Normal"/>
              <w:tabs>
                <w:tab w:val="clear" w:pos="720"/>
              </w:tabs>
              <w:bidi w:val="0"/>
              <w:ind w:end="-36"/>
              <w:jc w:val="start"/>
              <w:rPr/>
            </w:pPr>
            <w:r>
              <w:rPr>
                <w:rFonts w:ascii="Arial" w:hAnsi="Arial"/>
                <w:sz w:val="20"/>
              </w:rPr>
              <w:t xml:space="preserve">Enron Corp. Indemnity </w:t>
            </w:r>
          </w:p>
        </w:tc>
        <w:tc>
          <w:tcPr>
            <w:tcW w:w="1332" w:type="dxa"/>
            <w:tcBorders/>
          </w:tcPr>
          <w:p>
            <w:pPr>
              <w:pStyle w:val="Normal"/>
              <w:tabs>
                <w:tab w:val="clear" w:pos="720"/>
              </w:tabs>
              <w:bidi w:val="0"/>
              <w:ind w:end="-36"/>
              <w:jc w:val="end"/>
              <w:rPr/>
            </w:pPr>
            <w:r>
              <w:rPr>
                <w:rFonts w:ascii="Arial" w:hAnsi="Arial"/>
                <w:sz w:val="20"/>
              </w:rPr>
              <w:t>241.0</w:t>
            </w:r>
          </w:p>
        </w:tc>
        <w:tc>
          <w:tcPr>
            <w:tcW w:w="4339" w:type="dxa"/>
            <w:tcBorders/>
          </w:tcPr>
          <w:p>
            <w:pPr>
              <w:pStyle w:val="Normal"/>
              <w:tabs>
                <w:tab w:val="clear" w:pos="720"/>
              </w:tabs>
              <w:bidi w:val="0"/>
              <w:ind w:end="-36"/>
              <w:jc w:val="start"/>
              <w:rPr>
                <w:rFonts w:ascii="Arial" w:hAnsi="Arial"/>
                <w:sz w:val="20"/>
              </w:rPr>
            </w:pPr>
            <w:r>
              <w:rPr>
                <w:rFonts w:ascii="Arial" w:hAnsi="Arial"/>
                <w:sz w:val="20"/>
              </w:rPr>
            </w:r>
          </w:p>
        </w:tc>
      </w:tr>
      <w:tr>
        <w:trPr>
          <w:cantSplit w:val="true"/>
        </w:trPr>
        <w:tc>
          <w:tcPr>
            <w:tcW w:w="4427" w:type="dxa"/>
            <w:tcBorders/>
          </w:tcPr>
          <w:p>
            <w:pPr>
              <w:pStyle w:val="Normal"/>
              <w:tabs>
                <w:tab w:val="clear" w:pos="720"/>
              </w:tabs>
              <w:bidi w:val="0"/>
              <w:ind w:end="-36"/>
              <w:jc w:val="start"/>
              <w:rPr/>
            </w:pPr>
            <w:r>
              <w:rPr>
                <w:rFonts w:ascii="Arial" w:hAnsi="Arial"/>
                <w:sz w:val="20"/>
              </w:rPr>
              <w:t>TOTAL</w:t>
            </w:r>
          </w:p>
        </w:tc>
        <w:tc>
          <w:tcPr>
            <w:tcW w:w="1332" w:type="dxa"/>
            <w:tcBorders>
              <w:top w:val="single" w:sz="6" w:space="0" w:color="000000"/>
            </w:tcBorders>
          </w:tcPr>
          <w:p>
            <w:pPr>
              <w:pStyle w:val="Normal"/>
              <w:tabs>
                <w:tab w:val="clear" w:pos="720"/>
              </w:tabs>
              <w:bidi w:val="0"/>
              <w:ind w:end="-36"/>
              <w:jc w:val="end"/>
              <w:rPr>
                <w:rFonts w:ascii="Arial" w:hAnsi="Arial"/>
                <w:sz w:val="20"/>
              </w:rPr>
            </w:pPr>
            <w:r>
              <w:rPr>
                <w:rFonts w:ascii="Arial" w:hAnsi="Arial"/>
                <w:sz w:val="20"/>
                <w:u w:val="double"/>
              </w:rPr>
              <w:fldChar w:fldCharType="begin"/>
            </w:r>
            <w:r>
              <w:rPr>
                <w:sz w:val="20"/>
                <w:u w:val="double"/>
                <w:rFonts w:ascii="Arial" w:hAnsi="Arial"/>
              </w:rPr>
              <w:instrText xml:space="preserve"> = Sum(ABOVE)</w:instrText>
            </w:r>
            <w:r>
              <w:rPr>
                <w:sz w:val="20"/>
                <w:u w:val="double"/>
                <w:rFonts w:ascii="Arial" w:hAnsi="Arial"/>
              </w:rPr>
              <w:fldChar w:fldCharType="separate"/>
            </w:r>
            <w:r>
              <w:rPr>
                <w:sz w:val="20"/>
                <w:u w:val="double"/>
                <w:rFonts w:ascii="Arial" w:hAnsi="Arial"/>
              </w:rPr>
              <w:t>$ 482 241.0</w:t>
            </w:r>
            <w:r>
              <w:rPr>
                <w:sz w:val="20"/>
                <w:u w:val="double"/>
                <w:rFonts w:ascii="Arial" w:hAnsi="Arial"/>
              </w:rPr>
              <w:fldChar w:fldCharType="end"/>
            </w:r>
          </w:p>
          <w:p>
            <w:pPr>
              <w:pStyle w:val="Normal"/>
              <w:tabs>
                <w:tab w:val="clear" w:pos="720"/>
              </w:tabs>
              <w:bidi w:val="0"/>
              <w:ind w:end="-36"/>
              <w:jc w:val="end"/>
              <w:rPr>
                <w:rFonts w:ascii="Arial" w:hAnsi="Arial"/>
                <w:sz w:val="20"/>
              </w:rPr>
            </w:pPr>
            <w:r>
              <w:rPr>
                <w:rFonts w:ascii="Arial" w:hAnsi="Arial"/>
                <w:sz w:val="20"/>
              </w:rPr>
            </w:r>
          </w:p>
        </w:tc>
        <w:tc>
          <w:tcPr>
            <w:tcW w:w="4339" w:type="dxa"/>
            <w:tcBorders/>
          </w:tcPr>
          <w:p>
            <w:pPr>
              <w:pStyle w:val="Normal"/>
              <w:tabs>
                <w:tab w:val="clear" w:pos="720"/>
              </w:tabs>
              <w:bidi w:val="0"/>
              <w:ind w:end="-36"/>
              <w:jc w:val="start"/>
              <w:rPr>
                <w:rFonts w:ascii="Arial" w:hAnsi="Arial"/>
                <w:sz w:val="20"/>
              </w:rPr>
            </w:pPr>
            <w:r>
              <w:rPr>
                <w:rFonts w:ascii="Arial" w:hAnsi="Arial"/>
                <w:sz w:val="20"/>
              </w:rPr>
            </w:r>
          </w:p>
        </w:tc>
      </w:tr>
    </w:tbl>
    <w:p>
      <w:pPr>
        <w:pStyle w:val="Normal"/>
        <w:tabs>
          <w:tab w:val="left" w:pos="720" w:leader="none"/>
        </w:tabs>
        <w:bidi w:val="0"/>
        <w:ind w:hanging="360" w:start="720"/>
        <w:jc w:val="start"/>
        <w:rPr>
          <w:rFonts w:ascii="Arial" w:hAnsi="Arial"/>
          <w:sz w:val="20"/>
          <w:u w:val="double"/>
        </w:rPr>
      </w:pPr>
      <w:r>
        <w:rPr>
          <w:rFonts w:ascii="Arial" w:hAnsi="Arial"/>
          <w:sz w:val="20"/>
        </w:rPr>
        <w:t>(1)</w:t>
        <w:tab/>
        <w:t xml:space="preserve">Excludes offsetting amount of $634,215 </w:t>
      </w:r>
      <w:r>
        <w:rPr>
          <w:rFonts w:ascii="Arial" w:hAnsi="Arial"/>
          <w:strike/>
          <w:sz w:val="20"/>
        </w:rPr>
        <w:t>[…ADD REFERENCE TO LIBOR? MENTION CAPITAL CONTRIBUTION OF RAWHIDE CONTRIBUTED VALUE SHORTFALL AMOUNT? …]</w:t>
      </w:r>
      <w:r>
        <w:rPr>
          <w:rFonts w:ascii="Arial" w:hAnsi="Arial"/>
          <w:sz w:val="20"/>
        </w:rPr>
        <w:t xml:space="preserve"> </w:t>
      </w:r>
      <w:r>
        <w:rPr>
          <w:rFonts w:ascii="Arial" w:hAnsi="Arial"/>
          <w:sz w:val="20"/>
          <w:u w:val="double"/>
        </w:rPr>
        <w:t>and accrued interest from the closing date (estimated at $2.5 million)</w:t>
      </w:r>
    </w:p>
    <w:p>
      <w:pPr>
        <w:pStyle w:val="Normal"/>
        <w:tabs>
          <w:tab w:val="left" w:pos="720" w:leader="none"/>
        </w:tabs>
        <w:bidi w:val="0"/>
        <w:ind w:hanging="360" w:start="720"/>
        <w:jc w:val="start"/>
        <w:rPr>
          <w:rFonts w:ascii="Arial" w:hAnsi="Arial"/>
          <w:b/>
          <w:sz w:val="20"/>
        </w:rPr>
      </w:pPr>
      <w:r>
        <w:rPr>
          <w:rFonts w:ascii="Arial" w:hAnsi="Arial"/>
          <w:b/>
          <w:sz w:val="20"/>
          <w:u w:val="double"/>
        </w:rPr>
        <w:t>(2)</w:t>
      </w:r>
      <w:r>
        <w:rPr>
          <w:rFonts w:ascii="Arial" w:hAnsi="Arial"/>
          <w:b/>
          <w:sz w:val="20"/>
        </w:rPr>
        <w:tab/>
      </w:r>
      <w:r>
        <w:rPr>
          <w:rFonts w:ascii="Arial" w:hAnsi="Arial"/>
          <w:sz w:val="20"/>
          <w:u w:val="double"/>
        </w:rPr>
        <w:t>The difference between the $250 million value ascribed to this asset in the Rawhide off-balance sheet vehicle and the cash proceeds estimated at approximately $243 million will be required to be repaid by Enron Corp upon the receipt of proceeds for this divestiture.</w:t>
      </w:r>
    </w:p>
    <w:p>
      <w:pPr>
        <w:pStyle w:val="Heading1"/>
        <w:pBdr>
          <w:top w:val="single" w:sz="8" w:space="1" w:color="000000"/>
        </w:pBdr>
        <w:bidi w:val="0"/>
        <w:ind w:end="-36"/>
        <w:jc w:val="start"/>
        <w:rPr>
          <w:rFonts w:ascii="Arial" w:hAnsi="Arial"/>
        </w:rPr>
      </w:pPr>
      <w:r>
        <w:rPr>
          <w:rFonts w:ascii="Arial" w:hAnsi="Arial"/>
        </w:rPr>
        <w:t>EXPOSURE SUMMARY ($000,000s)</w:t>
      </w:r>
    </w:p>
    <w:tbl>
      <w:tblPr>
        <w:tblW w:w="10098" w:type="dxa"/>
        <w:jc w:val="start"/>
        <w:tblInd w:w="360" w:type="dxa"/>
        <w:tblLayout w:type="fixed"/>
        <w:tblCellMar>
          <w:top w:w="0" w:type="dxa"/>
          <w:start w:w="108" w:type="dxa"/>
          <w:bottom w:w="0" w:type="dxa"/>
          <w:end w:w="108" w:type="dxa"/>
        </w:tblCellMar>
      </w:tblPr>
      <w:tblGrid>
        <w:gridCol w:w="4427"/>
        <w:gridCol w:w="1332"/>
        <w:gridCol w:w="4339"/>
      </w:tblGrid>
      <w:tr>
        <w:trPr>
          <w:cantSplit w:val="true"/>
        </w:trPr>
        <w:tc>
          <w:tcPr>
            <w:tcW w:w="4427" w:type="dxa"/>
            <w:tcBorders/>
          </w:tcPr>
          <w:p>
            <w:pPr>
              <w:pStyle w:val="Normal"/>
              <w:tabs>
                <w:tab w:val="clear" w:pos="720"/>
              </w:tabs>
              <w:bidi w:val="0"/>
              <w:ind w:end="-36"/>
              <w:jc w:val="start"/>
              <w:rPr/>
            </w:pPr>
            <w:r>
              <w:rPr>
                <w:rFonts w:ascii="Arial" w:hAnsi="Arial"/>
                <w:sz w:val="20"/>
              </w:rPr>
              <w:t>This Transaction</w:t>
            </w:r>
          </w:p>
        </w:tc>
        <w:tc>
          <w:tcPr>
            <w:tcW w:w="1332" w:type="dxa"/>
            <w:tcBorders/>
          </w:tcPr>
          <w:p>
            <w:pPr>
              <w:pStyle w:val="Normal"/>
              <w:tabs>
                <w:tab w:val="clear" w:pos="720"/>
              </w:tabs>
              <w:bidi w:val="0"/>
              <w:ind w:end="-36"/>
              <w:jc w:val="end"/>
              <w:rPr/>
            </w:pPr>
            <w:r>
              <w:rPr>
                <w:rFonts w:ascii="Arial" w:hAnsi="Arial"/>
                <w:sz w:val="20"/>
              </w:rPr>
              <w:t>240,446</w:t>
            </w:r>
          </w:p>
        </w:tc>
        <w:tc>
          <w:tcPr>
            <w:tcW w:w="4339" w:type="dxa"/>
            <w:tcBorders/>
          </w:tcPr>
          <w:p>
            <w:pPr>
              <w:pStyle w:val="Normal"/>
              <w:tabs>
                <w:tab w:val="clear" w:pos="720"/>
              </w:tabs>
              <w:bidi w:val="0"/>
              <w:ind w:end="-36"/>
              <w:jc w:val="start"/>
              <w:rPr>
                <w:rFonts w:ascii="Arial" w:hAnsi="Arial"/>
                <w:sz w:val="20"/>
              </w:rPr>
            </w:pPr>
            <w:r>
              <w:rPr>
                <w:rFonts w:ascii="Arial" w:hAnsi="Arial"/>
                <w:sz w:val="20"/>
              </w:rPr>
            </w:r>
          </w:p>
        </w:tc>
      </w:tr>
      <w:tr>
        <w:trPr>
          <w:cantSplit w:val="true"/>
        </w:trPr>
        <w:tc>
          <w:tcPr>
            <w:tcW w:w="4427" w:type="dxa"/>
            <w:tcBorders/>
          </w:tcPr>
          <w:p>
            <w:pPr>
              <w:pStyle w:val="Normal"/>
              <w:tabs>
                <w:tab w:val="clear" w:pos="720"/>
              </w:tabs>
              <w:bidi w:val="0"/>
              <w:ind w:end="-36"/>
              <w:jc w:val="start"/>
              <w:rPr/>
            </w:pPr>
            <w:r>
              <w:rPr>
                <w:rFonts w:ascii="Arial" w:hAnsi="Arial"/>
                <w:sz w:val="20"/>
              </w:rPr>
              <w:t>Existing Exposure (Book Value)</w:t>
            </w:r>
          </w:p>
        </w:tc>
        <w:tc>
          <w:tcPr>
            <w:tcW w:w="1332" w:type="dxa"/>
            <w:tcBorders/>
          </w:tcPr>
          <w:p>
            <w:pPr>
              <w:pStyle w:val="Normal"/>
              <w:tabs>
                <w:tab w:val="clear" w:pos="720"/>
              </w:tabs>
              <w:bidi w:val="0"/>
              <w:ind w:end="-36"/>
              <w:jc w:val="end"/>
              <w:rPr/>
            </w:pPr>
            <w:r>
              <w:rPr>
                <w:rFonts w:ascii="Arial" w:hAnsi="Arial"/>
                <w:sz w:val="20"/>
              </w:rPr>
              <w:t>269.8</w:t>
            </w:r>
          </w:p>
        </w:tc>
        <w:tc>
          <w:tcPr>
            <w:tcW w:w="4339" w:type="dxa"/>
            <w:tcBorders/>
          </w:tcPr>
          <w:p>
            <w:pPr>
              <w:pStyle w:val="Normal"/>
              <w:tabs>
                <w:tab w:val="clear" w:pos="720"/>
              </w:tabs>
              <w:bidi w:val="0"/>
              <w:ind w:end="-36"/>
              <w:jc w:val="start"/>
              <w:rPr>
                <w:rFonts w:ascii="Arial" w:hAnsi="Arial"/>
                <w:sz w:val="20"/>
              </w:rPr>
            </w:pPr>
            <w:r>
              <w:rPr>
                <w:rFonts w:ascii="Arial" w:hAnsi="Arial"/>
                <w:sz w:val="20"/>
              </w:rPr>
            </w:r>
          </w:p>
        </w:tc>
      </w:tr>
      <w:tr>
        <w:trPr>
          <w:cantSplit w:val="true"/>
        </w:trPr>
        <w:tc>
          <w:tcPr>
            <w:tcW w:w="4427" w:type="dxa"/>
            <w:tcBorders/>
          </w:tcPr>
          <w:p>
            <w:pPr>
              <w:pStyle w:val="Normal"/>
              <w:tabs>
                <w:tab w:val="clear" w:pos="720"/>
              </w:tabs>
              <w:bidi w:val="0"/>
              <w:ind w:end="-36"/>
              <w:jc w:val="start"/>
              <w:rPr/>
            </w:pPr>
            <w:r>
              <w:rPr>
                <w:rFonts w:ascii="Arial" w:hAnsi="Arial"/>
                <w:sz w:val="20"/>
              </w:rPr>
              <w:t xml:space="preserve">Accounting Loss </w:t>
            </w:r>
          </w:p>
        </w:tc>
        <w:tc>
          <w:tcPr>
            <w:tcW w:w="1332" w:type="dxa"/>
            <w:tcBorders/>
          </w:tcPr>
          <w:p>
            <w:pPr>
              <w:pStyle w:val="Normal"/>
              <w:tabs>
                <w:tab w:val="clear" w:pos="720"/>
              </w:tabs>
              <w:bidi w:val="0"/>
              <w:ind w:end="-36"/>
              <w:jc w:val="end"/>
              <w:rPr/>
            </w:pPr>
            <w:r>
              <w:rPr>
                <w:rFonts w:ascii="Arial" w:hAnsi="Arial"/>
                <w:sz w:val="20"/>
              </w:rPr>
              <w:t>(28.8)</w:t>
            </w:r>
          </w:p>
        </w:tc>
        <w:tc>
          <w:tcPr>
            <w:tcW w:w="4339" w:type="dxa"/>
            <w:tcBorders/>
          </w:tcPr>
          <w:p>
            <w:pPr>
              <w:pStyle w:val="Normal"/>
              <w:tabs>
                <w:tab w:val="clear" w:pos="720"/>
              </w:tabs>
              <w:bidi w:val="0"/>
              <w:ind w:end="-36"/>
              <w:jc w:val="start"/>
              <w:rPr>
                <w:rFonts w:ascii="Arial" w:hAnsi="Arial"/>
                <w:sz w:val="20"/>
              </w:rPr>
            </w:pPr>
            <w:r>
              <w:rPr>
                <w:rFonts w:ascii="Arial" w:hAnsi="Arial"/>
                <w:sz w:val="20"/>
              </w:rPr>
            </w:r>
          </w:p>
        </w:tc>
      </w:tr>
      <w:tr>
        <w:trPr>
          <w:cantSplit w:val="true"/>
        </w:trPr>
        <w:tc>
          <w:tcPr>
            <w:tcW w:w="4427" w:type="dxa"/>
            <w:tcBorders/>
          </w:tcPr>
          <w:p>
            <w:pPr>
              <w:pStyle w:val="Normal"/>
              <w:tabs>
                <w:tab w:val="clear" w:pos="720"/>
              </w:tabs>
              <w:bidi w:val="0"/>
              <w:ind w:end="-36"/>
              <w:jc w:val="start"/>
              <w:rPr/>
            </w:pPr>
            <w:r>
              <w:rPr>
                <w:rFonts w:ascii="Arial" w:hAnsi="Arial"/>
                <w:sz w:val="20"/>
              </w:rPr>
              <w:t>TOTAL AFTER DIVESTITURE</w:t>
            </w:r>
          </w:p>
        </w:tc>
        <w:tc>
          <w:tcPr>
            <w:tcW w:w="1332" w:type="dxa"/>
            <w:tcBorders>
              <w:top w:val="single" w:sz="6" w:space="0" w:color="000000"/>
            </w:tcBorders>
          </w:tcPr>
          <w:p>
            <w:pPr>
              <w:pStyle w:val="Normal"/>
              <w:tabs>
                <w:tab w:val="clear" w:pos="720"/>
              </w:tabs>
              <w:bidi w:val="0"/>
              <w:ind w:end="-36"/>
              <w:jc w:val="end"/>
              <w:rPr/>
            </w:pPr>
            <w:r>
              <w:rPr>
                <w:rFonts w:ascii="Arial" w:hAnsi="Arial"/>
                <w:sz w:val="20"/>
              </w:rPr>
              <w:fldChar w:fldCharType="begin"/>
            </w:r>
            <w:r>
              <w:rPr>
                <w:sz w:val="20"/>
                <w:rFonts w:ascii="Arial" w:hAnsi="Arial"/>
              </w:rPr>
              <w:instrText xml:space="preserve"> =Sum( ABOVE )</w:instrText>
            </w:r>
            <w:r>
              <w:rPr>
                <w:sz w:val="20"/>
                <w:rFonts w:ascii="Arial" w:hAnsi="Arial"/>
              </w:rPr>
              <w:fldChar w:fldCharType="separate"/>
            </w:r>
            <w:r>
              <w:rPr>
                <w:sz w:val="20"/>
                <w:rFonts w:ascii="Arial" w:hAnsi="Arial"/>
              </w:rPr>
              <w:t>$240,687</w:t>
            </w:r>
            <w:r>
              <w:rPr>
                <w:sz w:val="20"/>
                <w:rFonts w:ascii="Arial" w:hAnsi="Arial"/>
              </w:rPr>
              <w:fldChar w:fldCharType="end"/>
            </w:r>
            <w:r>
              <w:rPr>
                <w:rFonts w:ascii="Arial" w:hAnsi="Arial"/>
                <w:sz w:val="20"/>
              </w:rPr>
              <w:fldChar w:fldCharType="begin"/>
            </w:r>
            <w:r>
              <w:rPr>
                <w:sz w:val="20"/>
                <w:rFonts w:ascii="Arial" w:hAnsi="Arial"/>
              </w:rPr>
              <w:instrText xml:space="preserve"> = SUM(ABOVE) }</w:instrText>
            </w:r>
            <w:r>
              <w:rPr>
                <w:sz w:val="20"/>
                <w:rFonts w:ascii="Arial" w:hAnsi="Arial"/>
              </w:rPr>
              <w:fldChar w:fldCharType="separate"/>
            </w:r>
            <w:r>
              <w:rPr>
                <w:sz w:val="20"/>
                <w:rFonts w:ascii="Arial" w:hAnsi="Arial"/>
              </w:rPr>
            </w:r>
            <w:r>
              <w:rPr>
                <w:sz w:val="20"/>
                <w:rFonts w:ascii="Arial" w:hAnsi="Arial"/>
              </w:rPr>
              <w:fldChar w:fldCharType="end"/>
            </w:r>
          </w:p>
        </w:tc>
        <w:tc>
          <w:tcPr>
            <w:tcW w:w="4339" w:type="dxa"/>
            <w:tcBorders/>
          </w:tcPr>
          <w:p>
            <w:pPr>
              <w:pStyle w:val="Normal"/>
              <w:tabs>
                <w:tab w:val="clear" w:pos="720"/>
              </w:tabs>
              <w:bidi w:val="0"/>
              <w:ind w:end="-36"/>
              <w:jc w:val="start"/>
              <w:rPr>
                <w:rFonts w:ascii="Arial" w:hAnsi="Arial"/>
                <w:sz w:val="20"/>
              </w:rPr>
            </w:pPr>
            <w:r>
              <w:rPr>
                <w:rFonts w:ascii="Arial" w:hAnsi="Arial"/>
                <w:sz w:val="20"/>
              </w:rPr>
            </w:r>
          </w:p>
        </w:tc>
      </w:tr>
    </w:tbl>
    <w:p>
      <w:pPr>
        <w:pStyle w:val="Normal"/>
        <w:bidi w:val="0"/>
        <w:ind w:end="-36"/>
        <w:jc w:val="start"/>
        <w:rPr>
          <w:rFonts w:ascii="Arial" w:hAnsi="Arial"/>
          <w:sz w:val="20"/>
        </w:rPr>
      </w:pPr>
      <w:r>
        <w:rPr>
          <w:rFonts w:ascii="Arial" w:hAnsi="Arial"/>
          <w:sz w:val="20"/>
        </w:rPr>
      </w:r>
    </w:p>
    <w:p>
      <w:pPr>
        <w:pStyle w:val="Heading2"/>
        <w:pBdr>
          <w:top w:val="single" w:sz="8" w:space="1" w:color="000000"/>
        </w:pBdr>
        <w:bidi w:val="0"/>
        <w:ind w:end="-36"/>
        <w:jc w:val="start"/>
        <w:rPr>
          <w:rFonts w:ascii="Arial" w:hAnsi="Arial"/>
          <w:i w:val="false"/>
          <w:i w:val="false"/>
        </w:rPr>
      </w:pPr>
      <w:r>
        <w:rPr/>
        <w:t>DEAL DESCRIPTION</w:t>
      </w:r>
    </w:p>
    <w:p>
      <w:pPr>
        <w:pStyle w:val="Normal"/>
        <w:bidi w:val="0"/>
        <w:ind w:hanging="0" w:start="360" w:end="-36"/>
        <w:jc w:val="start"/>
        <w:rPr>
          <w:sz w:val="20"/>
        </w:rPr>
      </w:pPr>
      <w:r>
        <w:rPr>
          <w:sz w:val="20"/>
        </w:rPr>
      </w:r>
    </w:p>
    <w:p>
      <w:pPr>
        <w:pStyle w:val="Normal"/>
        <w:bidi w:val="0"/>
        <w:ind w:hanging="0" w:start="360" w:end="-36"/>
        <w:jc w:val="start"/>
        <w:rPr>
          <w:rFonts w:ascii="Arial" w:hAnsi="Arial"/>
          <w:sz w:val="20"/>
        </w:rPr>
      </w:pPr>
      <w:r>
        <w:rPr/>
        <w:t>Divestiture of Enron’s indirect 25.38% net ownership interest in CEG and its indirect 33.75% net ownership interest in CEG-Rio, two Brazilian gas local distribution companies for cash sales proceeds of (y) $241.0 million, together with interest thereon from April 29, 2001 to and including the Closing Date at a rate per annum equal to LIBOR, less (z) the equivalent on the Closing Date of US $634,214.94, together with interest on such amount from April 29, 2001 to and including the Closing Date at a rate per annum equal to LIBOR (the “Purchase Price”).    In addition, the purchaser, Petroleo Brasileiro, S.A. – Petrobras (“Petrobras”), will waive its right of first refusal with respect to the indirect equity interests held by Enron in the seven Gaspart gas LDCs and will agree not to interfere with the process of their sale (the “Gaspart LDCs”) in Brazil, which waiver (the “Gaspart Waiver”) has been valued by CSFB in the range of $40 million to $60 million.</w:t>
      </w:r>
    </w:p>
    <w:p>
      <w:pPr>
        <w:pStyle w:val="Normal"/>
        <w:bidi w:val="0"/>
        <w:ind w:hanging="0" w:start="360" w:end="-36"/>
        <w:jc w:val="start"/>
        <w:rPr>
          <w:rFonts w:ascii="Arial" w:hAnsi="Arial"/>
          <w:sz w:val="20"/>
        </w:rPr>
      </w:pPr>
      <w:r>
        <w:rPr/>
        <w:t xml:space="preserve"> </w:t>
      </w:r>
    </w:p>
    <w:p>
      <w:pPr>
        <w:pStyle w:val="Normal"/>
        <w:bidi w:val="0"/>
        <w:ind w:hanging="0" w:start="360" w:end="-36"/>
        <w:jc w:val="start"/>
        <w:rPr>
          <w:rFonts w:ascii="Arial" w:hAnsi="Arial"/>
          <w:sz w:val="20"/>
        </w:rPr>
      </w:pPr>
      <w:r>
        <w:rPr/>
        <w:t>The initial investment in these assets in July 1997 was $266.5 million.    The current book basis is $269.8 million.    Enron will incur a book pre-tax loss of ($28.8 million) on this divestiture; on an after tax basis, the loss is ($21.1 million).    Enron’s interests in CEG and CEG-Rio are held indirectly through Ponderosa Assets L.P. (see Deal Summary below).</w:t>
      </w:r>
    </w:p>
    <w:p>
      <w:pPr>
        <w:pStyle w:val="Normal"/>
        <w:bidi w:val="0"/>
        <w:ind w:hanging="0" w:start="360" w:end="-36"/>
        <w:jc w:val="start"/>
        <w:rPr>
          <w:rFonts w:ascii="Arial" w:hAnsi="Arial"/>
          <w:sz w:val="20"/>
        </w:rPr>
      </w:pPr>
      <w:r>
        <w:rPr>
          <w:rFonts w:ascii="Arial" w:hAnsi="Arial"/>
          <w:sz w:val="20"/>
        </w:rPr>
      </w:r>
    </w:p>
    <w:p>
      <w:pPr>
        <w:pStyle w:val="Normal"/>
        <w:bidi w:val="0"/>
        <w:ind w:hanging="0" w:start="360" w:end="-36"/>
        <w:jc w:val="start"/>
        <w:rPr>
          <w:rFonts w:ascii="Arial" w:hAnsi="Arial"/>
          <w:sz w:val="20"/>
        </w:rPr>
      </w:pPr>
      <w:r>
        <w:rPr/>
        <w:t>An Enron Corp. indemnity of up to the amount of the Purchase Price relating to certain provisions of the Participation Agreement is required as a condition to this divestiture.</w:t>
      </w:r>
    </w:p>
    <w:p>
      <w:pPr>
        <w:pStyle w:val="Normal"/>
        <w:bidi w:val="0"/>
        <w:jc w:val="both"/>
        <w:rPr>
          <w:rFonts w:ascii="Arial" w:hAnsi="Arial"/>
          <w:color w:val="000000"/>
          <w:sz w:val="20"/>
        </w:rPr>
      </w:pPr>
      <w:r>
        <w:rPr>
          <w:rFonts w:ascii="Arial" w:hAnsi="Arial"/>
          <w:color w:val="000000"/>
          <w:sz w:val="20"/>
        </w:rPr>
      </w:r>
    </w:p>
    <w:p>
      <w:pPr>
        <w:pStyle w:val="Heading2"/>
        <w:pBdr>
          <w:top w:val="single" w:sz="8" w:space="1" w:color="000000"/>
        </w:pBdr>
        <w:bidi w:val="0"/>
        <w:ind w:end="-36"/>
        <w:jc w:val="start"/>
        <w:rPr>
          <w:rFonts w:ascii="Arial" w:hAnsi="Arial"/>
          <w:i w:val="false"/>
          <w:i w:val="false"/>
        </w:rPr>
      </w:pPr>
      <w:r>
        <w:rPr/>
        <w:t>TRANSACTION SOURCES AND USES OF FUNDS (US $millions)</w:t>
      </w:r>
    </w:p>
    <w:tbl>
      <w:tblPr>
        <w:tblW w:w="9270" w:type="dxa"/>
        <w:jc w:val="start"/>
        <w:tblInd w:w="378" w:type="dxa"/>
        <w:tblLayout w:type="fixed"/>
        <w:tblCellMar>
          <w:top w:w="0" w:type="dxa"/>
          <w:start w:w="108" w:type="dxa"/>
          <w:bottom w:w="0" w:type="dxa"/>
          <w:end w:w="108" w:type="dxa"/>
        </w:tblCellMar>
      </w:tblPr>
      <w:tblGrid>
        <w:gridCol w:w="2159"/>
        <w:gridCol w:w="1350"/>
        <w:gridCol w:w="1441"/>
        <w:gridCol w:w="3060"/>
        <w:gridCol w:w="1260"/>
      </w:tblGrid>
      <w:tr>
        <w:trPr>
          <w:cantSplit w:val="true"/>
        </w:trPr>
        <w:tc>
          <w:tcPr>
            <w:tcW w:w="2159" w:type="dxa"/>
            <w:tcBorders/>
          </w:tcPr>
          <w:p>
            <w:pPr>
              <w:pStyle w:val="Normal"/>
              <w:tabs>
                <w:tab w:val="clear" w:pos="720"/>
              </w:tabs>
              <w:bidi w:val="0"/>
              <w:jc w:val="start"/>
              <w:rPr>
                <w:rFonts w:ascii="Arial" w:hAnsi="Arial"/>
                <w:sz w:val="20"/>
              </w:rPr>
            </w:pPr>
            <w:r>
              <w:rPr>
                <w:rFonts w:ascii="Arial" w:hAnsi="Arial"/>
                <w:sz w:val="20"/>
              </w:rPr>
            </w:r>
          </w:p>
        </w:tc>
        <w:tc>
          <w:tcPr>
            <w:tcW w:w="1350" w:type="dxa"/>
            <w:tcBorders/>
          </w:tcPr>
          <w:p>
            <w:pPr>
              <w:pStyle w:val="Normal"/>
              <w:tabs>
                <w:tab w:val="clear" w:pos="720"/>
              </w:tabs>
              <w:bidi w:val="0"/>
              <w:jc w:val="end"/>
              <w:rPr/>
            </w:pPr>
            <w:r>
              <w:rPr/>
              <w:t>Sources</w:t>
            </w:r>
          </w:p>
        </w:tc>
        <w:tc>
          <w:tcPr>
            <w:tcW w:w="1441" w:type="dxa"/>
            <w:tcBorders/>
          </w:tcPr>
          <w:p>
            <w:pPr>
              <w:pStyle w:val="Normal"/>
              <w:tabs>
                <w:tab w:val="clear" w:pos="720"/>
              </w:tabs>
              <w:bidi w:val="0"/>
              <w:jc w:val="end"/>
              <w:rPr>
                <w:rFonts w:ascii="Arial" w:hAnsi="Arial"/>
                <w:sz w:val="20"/>
                <w:u w:val="single"/>
              </w:rPr>
            </w:pPr>
            <w:r>
              <w:rPr>
                <w:rFonts w:ascii="Arial" w:hAnsi="Arial"/>
                <w:sz w:val="20"/>
                <w:u w:val="single"/>
              </w:rPr>
            </w:r>
          </w:p>
        </w:tc>
        <w:tc>
          <w:tcPr>
            <w:tcW w:w="3060" w:type="dxa"/>
            <w:tcBorders/>
          </w:tcPr>
          <w:p>
            <w:pPr>
              <w:pStyle w:val="Normal"/>
              <w:tabs>
                <w:tab w:val="clear" w:pos="720"/>
              </w:tabs>
              <w:bidi w:val="0"/>
              <w:jc w:val="end"/>
              <w:rPr>
                <w:rFonts w:ascii="Arial" w:hAnsi="Arial"/>
                <w:sz w:val="20"/>
                <w:u w:val="single"/>
              </w:rPr>
            </w:pPr>
            <w:r>
              <w:rPr>
                <w:rFonts w:ascii="Arial" w:hAnsi="Arial"/>
                <w:sz w:val="20"/>
                <w:u w:val="single"/>
              </w:rPr>
            </w:r>
          </w:p>
        </w:tc>
        <w:tc>
          <w:tcPr>
            <w:tcW w:w="1260" w:type="dxa"/>
            <w:tcBorders/>
          </w:tcPr>
          <w:p>
            <w:pPr>
              <w:pStyle w:val="Normal"/>
              <w:tabs>
                <w:tab w:val="clear" w:pos="720"/>
              </w:tabs>
              <w:bidi w:val="0"/>
              <w:jc w:val="end"/>
              <w:rPr/>
            </w:pPr>
            <w:r>
              <w:rPr/>
              <w:t>Uses</w:t>
            </w:r>
          </w:p>
        </w:tc>
      </w:tr>
      <w:tr>
        <w:trPr>
          <w:cantSplit w:val="true"/>
        </w:trPr>
        <w:tc>
          <w:tcPr>
            <w:tcW w:w="2159" w:type="dxa"/>
            <w:tcBorders/>
          </w:tcPr>
          <w:p>
            <w:pPr>
              <w:pStyle w:val="Normal"/>
              <w:tabs>
                <w:tab w:val="clear" w:pos="720"/>
              </w:tabs>
              <w:bidi w:val="0"/>
              <w:jc w:val="start"/>
              <w:rPr/>
            </w:pPr>
            <w:r>
              <w:rPr/>
              <w:t>Cash Sale Proceeds</w:t>
            </w:r>
          </w:p>
        </w:tc>
        <w:tc>
          <w:tcPr>
            <w:tcW w:w="1350" w:type="dxa"/>
            <w:tcBorders/>
          </w:tcPr>
          <w:p>
            <w:pPr>
              <w:pStyle w:val="Normal"/>
              <w:tabs>
                <w:tab w:val="clear" w:pos="720"/>
              </w:tabs>
              <w:bidi w:val="0"/>
              <w:jc w:val="end"/>
              <w:rPr/>
            </w:pPr>
            <w:r>
              <w:rPr/>
              <w:t xml:space="preserve">$241.0*                                            </w:t>
            </w:r>
          </w:p>
        </w:tc>
        <w:tc>
          <w:tcPr>
            <w:tcW w:w="1441" w:type="dxa"/>
            <w:tcBorders/>
          </w:tcPr>
          <w:p>
            <w:pPr>
              <w:pStyle w:val="Normal"/>
              <w:tabs>
                <w:tab w:val="clear" w:pos="720"/>
              </w:tabs>
              <w:bidi w:val="0"/>
              <w:jc w:val="end"/>
              <w:rPr>
                <w:rFonts w:ascii="Arial" w:hAnsi="Arial"/>
                <w:sz w:val="20"/>
              </w:rPr>
            </w:pPr>
            <w:r>
              <w:rPr>
                <w:rFonts w:ascii="Arial" w:hAnsi="Arial"/>
                <w:sz w:val="20"/>
              </w:rPr>
            </w:r>
          </w:p>
        </w:tc>
        <w:tc>
          <w:tcPr>
            <w:tcW w:w="3060" w:type="dxa"/>
            <w:tcBorders/>
          </w:tcPr>
          <w:p>
            <w:pPr>
              <w:pStyle w:val="Header"/>
              <w:tabs>
                <w:tab w:val="clear" w:pos="4320"/>
                <w:tab w:val="clear" w:pos="8640"/>
              </w:tabs>
              <w:bidi w:val="0"/>
              <w:jc w:val="start"/>
              <w:rPr>
                <w:rFonts w:ascii="Arial" w:hAnsi="Arial"/>
              </w:rPr>
            </w:pPr>
            <w:r>
              <w:rPr/>
              <w:t>Return of Capital to Enron Corp.**</w:t>
            </w:r>
          </w:p>
          <w:p>
            <w:pPr>
              <w:pStyle w:val="Header"/>
              <w:tabs>
                <w:tab w:val="clear" w:pos="4320"/>
                <w:tab w:val="clear" w:pos="8640"/>
              </w:tabs>
              <w:bidi w:val="0"/>
              <w:jc w:val="start"/>
              <w:rPr>
                <w:rFonts w:ascii="Arial" w:hAnsi="Arial"/>
              </w:rPr>
            </w:pPr>
            <w:r>
              <w:rPr>
                <w:rFonts w:ascii="Arial" w:hAnsi="Arial"/>
              </w:rPr>
            </w:r>
          </w:p>
        </w:tc>
        <w:tc>
          <w:tcPr>
            <w:tcW w:w="1260" w:type="dxa"/>
            <w:tcBorders/>
          </w:tcPr>
          <w:p>
            <w:pPr>
              <w:pStyle w:val="Normal"/>
              <w:tabs>
                <w:tab w:val="clear" w:pos="720"/>
              </w:tabs>
              <w:bidi w:val="0"/>
              <w:jc w:val="end"/>
              <w:rPr>
                <w:rFonts w:ascii="Arial" w:hAnsi="Arial"/>
                <w:sz w:val="20"/>
              </w:rPr>
            </w:pPr>
            <w:r>
              <w:rPr/>
              <w:t>$241.0*</w:t>
            </w:r>
          </w:p>
          <w:p>
            <w:pPr>
              <w:pStyle w:val="Normal"/>
              <w:tabs>
                <w:tab w:val="clear" w:pos="720"/>
              </w:tabs>
              <w:bidi w:val="0"/>
              <w:jc w:val="end"/>
              <w:rPr>
                <w:rFonts w:ascii="Arial" w:hAnsi="Arial"/>
                <w:sz w:val="20"/>
              </w:rPr>
            </w:pPr>
            <w:r>
              <w:rPr>
                <w:rFonts w:ascii="Arial" w:hAnsi="Arial"/>
                <w:sz w:val="20"/>
              </w:rPr>
            </w:r>
          </w:p>
          <w:p>
            <w:pPr>
              <w:pStyle w:val="Normal"/>
              <w:tabs>
                <w:tab w:val="clear" w:pos="720"/>
              </w:tabs>
              <w:bidi w:val="0"/>
              <w:jc w:val="center"/>
              <w:rPr>
                <w:rFonts w:ascii="Arial" w:hAnsi="Arial"/>
                <w:sz w:val="20"/>
              </w:rPr>
            </w:pPr>
            <w:r>
              <w:rPr>
                <w:rFonts w:ascii="Arial" w:hAnsi="Arial"/>
                <w:sz w:val="20"/>
              </w:rPr>
            </w:r>
          </w:p>
        </w:tc>
      </w:tr>
      <w:tr>
        <w:trPr>
          <w:cantSplit w:val="true"/>
        </w:trPr>
        <w:tc>
          <w:tcPr>
            <w:tcW w:w="2159" w:type="dxa"/>
            <w:tcBorders/>
          </w:tcPr>
          <w:p>
            <w:pPr>
              <w:pStyle w:val="Normal"/>
              <w:tabs>
                <w:tab w:val="clear" w:pos="720"/>
              </w:tabs>
              <w:bidi w:val="0"/>
              <w:jc w:val="start"/>
              <w:rPr/>
            </w:pPr>
            <w:r>
              <w:rPr/>
              <w:t>Total</w:t>
            </w:r>
          </w:p>
        </w:tc>
        <w:tc>
          <w:tcPr>
            <w:tcW w:w="1350" w:type="dxa"/>
            <w:tcBorders>
              <w:top w:val="single" w:sz="6" w:space="0" w:color="000000"/>
            </w:tcBorders>
          </w:tcPr>
          <w:p>
            <w:pPr>
              <w:pStyle w:val="Normal"/>
              <w:tabs>
                <w:tab w:val="clear" w:pos="720"/>
              </w:tabs>
              <w:bidi w:val="0"/>
              <w:jc w:val="end"/>
              <w:rPr/>
            </w:pPr>
            <w:r>
              <w:rPr/>
              <w:t>$241.0*</w:t>
            </w:r>
          </w:p>
        </w:tc>
        <w:tc>
          <w:tcPr>
            <w:tcW w:w="1441" w:type="dxa"/>
            <w:tcBorders/>
          </w:tcPr>
          <w:p>
            <w:pPr>
              <w:pStyle w:val="Normal"/>
              <w:tabs>
                <w:tab w:val="clear" w:pos="720"/>
              </w:tabs>
              <w:bidi w:val="0"/>
              <w:jc w:val="end"/>
              <w:rPr>
                <w:rFonts w:ascii="Arial" w:hAnsi="Arial"/>
                <w:sz w:val="20"/>
              </w:rPr>
            </w:pPr>
            <w:r>
              <w:rPr>
                <w:rFonts w:ascii="Arial" w:hAnsi="Arial"/>
                <w:sz w:val="20"/>
              </w:rPr>
            </w:r>
          </w:p>
        </w:tc>
        <w:tc>
          <w:tcPr>
            <w:tcW w:w="3060" w:type="dxa"/>
            <w:tcBorders/>
          </w:tcPr>
          <w:p>
            <w:pPr>
              <w:pStyle w:val="Header"/>
              <w:tabs>
                <w:tab w:val="clear" w:pos="4320"/>
                <w:tab w:val="clear" w:pos="8640"/>
              </w:tabs>
              <w:bidi w:val="0"/>
              <w:jc w:val="start"/>
              <w:rPr/>
            </w:pPr>
            <w:r>
              <w:rPr/>
              <w:t>Total</w:t>
            </w:r>
          </w:p>
        </w:tc>
        <w:tc>
          <w:tcPr>
            <w:tcW w:w="1260" w:type="dxa"/>
            <w:tcBorders>
              <w:top w:val="single" w:sz="6" w:space="0" w:color="000000"/>
            </w:tcBorders>
          </w:tcPr>
          <w:p>
            <w:pPr>
              <w:pStyle w:val="Normal"/>
              <w:tabs>
                <w:tab w:val="clear" w:pos="720"/>
              </w:tabs>
              <w:bidi w:val="0"/>
              <w:jc w:val="end"/>
              <w:rPr/>
            </w:pPr>
            <w:r>
              <w:rPr/>
              <w:t>$241.0*</w:t>
            </w:r>
          </w:p>
        </w:tc>
      </w:tr>
    </w:tbl>
    <w:p>
      <w:pPr>
        <w:pStyle w:val="Heading2"/>
        <w:bidi w:val="0"/>
        <w:ind w:end="-36"/>
        <w:jc w:val="start"/>
        <w:rPr>
          <w:rFonts w:ascii="Arial" w:hAnsi="Arial"/>
          <w:i w:val="false"/>
          <w:i w:val="false"/>
        </w:rPr>
      </w:pPr>
      <w:r>
        <w:rPr>
          <w:rFonts w:ascii="Arial" w:hAnsi="Arial"/>
          <w:i w:val="false"/>
        </w:rPr>
      </w:r>
    </w:p>
    <w:p>
      <w:pPr>
        <w:pStyle w:val="BodyTextIndent2"/>
        <w:bidi w:val="0"/>
        <w:jc w:val="start"/>
        <w:rPr>
          <w:rFonts w:ascii="Arial" w:hAnsi="Arial"/>
        </w:rPr>
      </w:pPr>
      <w:r>
        <w:rPr/>
        <w:t>*This does not reflect the $40 million - $60 million (non-cash) value ascribed to the Gaspart Waiver.</w:t>
      </w:r>
    </w:p>
    <w:p>
      <w:pPr>
        <w:pStyle w:val="BodyTextIndent2"/>
        <w:bidi w:val="0"/>
        <w:jc w:val="both"/>
        <w:rPr>
          <w:rFonts w:ascii="Arial" w:hAnsi="Arial"/>
        </w:rPr>
      </w:pPr>
      <w:r>
        <w:rPr/>
        <w:t>**Sale proceeds are to be wired to the Ponderosa Debt Service Reserve account.    Ponderosa will use the proceeds to prepay its loan from Sundance.    Sundance will use the proceeds to make a mandatory distribution to Rawhide (Sundance’s limited partner).    Rawhide will use the proceeds to make a mandatory prepayment on its bank loan.  […ADD REFERENCE TO LIBOR? MENTION CAPITAL CONTRIBUTION OF RAWHIDE CONTRIBUED VALUE SHORTFALL AMOUNT? …]</w:t>
      </w:r>
    </w:p>
    <w:p>
      <w:pPr>
        <w:pStyle w:val="Heading2"/>
        <w:pBdr>
          <w:top w:val="single" w:sz="8" w:space="1" w:color="000000"/>
        </w:pBdr>
        <w:bidi w:val="0"/>
        <w:ind w:end="-36"/>
        <w:jc w:val="both"/>
        <w:rPr>
          <w:rFonts w:ascii="Arial" w:hAnsi="Arial"/>
          <w:i w:val="false"/>
          <w:i w:val="false"/>
        </w:rPr>
      </w:pPr>
      <w:r>
        <w:rPr/>
        <w:t>DEAL SUMMARY</w:t>
      </w:r>
    </w:p>
    <w:p>
      <w:pPr>
        <w:pStyle w:val="Heading2"/>
        <w:pBdr>
          <w:top w:val="single" w:sz="8" w:space="1" w:color="000000"/>
        </w:pBdr>
        <w:bidi w:val="0"/>
        <w:ind w:end="-36"/>
        <w:jc w:val="both"/>
        <w:rPr>
          <w:rFonts w:ascii="Arial" w:hAnsi="Arial"/>
          <w:b w:val="false"/>
          <w:i w:val="false"/>
          <w:i w:val="false"/>
        </w:rPr>
      </w:pPr>
      <w:r>
        <w:rPr>
          <w:rFonts w:ascii="Arial" w:hAnsi="Arial"/>
          <w:b w:val="false"/>
          <w:i w:val="false"/>
        </w:rPr>
      </w:r>
    </w:p>
    <w:p>
      <w:pPr>
        <w:pStyle w:val="Heading2"/>
        <w:pBdr>
          <w:top w:val="single" w:sz="8" w:space="1" w:color="000000"/>
        </w:pBdr>
        <w:bidi w:val="0"/>
        <w:ind w:end="-36"/>
        <w:jc w:val="both"/>
        <w:rPr>
          <w:rFonts w:ascii="Arial" w:hAnsi="Arial"/>
          <w:b w:val="false"/>
          <w:i w:val="false"/>
          <w:i w:val="false"/>
        </w:rPr>
      </w:pPr>
      <w:r>
        <w:rPr/>
        <w:t>Enron International Brazil Gas Holdings LLC, a Delaware corporation (“EIBGHLLC”), proposes to sell 100% of Enron International Brazil 1997 Ltd. (“EIB”) and Enron International Brazil Gas Holdings Ltd. (“EIBGH”), each being Cayman Islands companies and owning together, through various holding companies, the interests described below.    Ponderosa Assets L.P. (“Ponderosa”), a subsidiary of Enron Corp., indirectly owns EIBGHLLC, EIB and EIBGH.    Ponderosa is the borrower under a US$690 million loan from Sundance Assets LP (“Sundance”).    Rawhide Investors LLC (“Rawhide”) is the limited partner, and Ponderosa is the general partner, in Sundance.    Rawhide is capitalized with third party equity and a bank loan.</w:t>
      </w:r>
    </w:p>
    <w:p>
      <w:pPr>
        <w:pStyle w:val="Heading2"/>
        <w:pBdr>
          <w:top w:val="single" w:sz="8" w:space="1" w:color="000000"/>
        </w:pBdr>
        <w:bidi w:val="0"/>
        <w:ind w:end="-36"/>
        <w:jc w:val="both"/>
        <w:rPr>
          <w:rFonts w:ascii="Arial" w:hAnsi="Arial"/>
          <w:b w:val="false"/>
          <w:i w:val="false"/>
          <w:i w:val="false"/>
          <w:color w:val="000000"/>
        </w:rPr>
      </w:pPr>
      <w:r>
        <w:rPr>
          <w:rFonts w:ascii="Arial" w:hAnsi="Arial"/>
          <w:b w:val="false"/>
          <w:i w:val="false"/>
          <w:color w:val="000000"/>
        </w:rPr>
      </w:r>
    </w:p>
    <w:p>
      <w:pPr>
        <w:pStyle w:val="Heading2"/>
        <w:pBdr>
          <w:top w:val="single" w:sz="8" w:space="1" w:color="000000"/>
        </w:pBdr>
        <w:bidi w:val="0"/>
        <w:ind w:end="-36"/>
        <w:jc w:val="both"/>
        <w:rPr>
          <w:rFonts w:ascii="Arial" w:hAnsi="Arial"/>
          <w:b w:val="false"/>
          <w:i w:val="false"/>
          <w:i w:val="false"/>
        </w:rPr>
      </w:pPr>
      <w:r>
        <w:rPr/>
        <w:t>EIB and EIBGH    own a 45% interest in the control group of CEG, with Gas Natural SDG S.A. (“Gas Natural”) having 33.5%, Iberdrola Investimentos Unipessoal Ltda. (“Iberdrola”) 17.5% and Pluspetrol Energy Sociedad Anonima (“Pluspetrol”) 4%. In turn, the control group holds a 56.41% interest in CEG.    As a result, Enron has a net ownership interest in CEG of 25.38%. BNDES Participações S.A. holds 34.55% and other investors (mostly Brazilian Pension Funds) own 9.04%; these entities are not part of the control group.</w:t>
      </w:r>
    </w:p>
    <w:p>
      <w:pPr>
        <w:pStyle w:val="BodyText"/>
        <w:tabs>
          <w:tab w:val="left" w:pos="720" w:leader="none"/>
          <w:tab w:val="left" w:pos="1080" w:leader="none"/>
          <w:tab w:val="right" w:pos="7560" w:leader="none"/>
          <w:tab w:val="left" w:pos="7920" w:leader="none"/>
          <w:tab w:val="decimal" w:pos="8640" w:leader="none"/>
        </w:tabs>
        <w:bidi w:val="0"/>
        <w:spacing w:before="120" w:after="120"/>
        <w:jc w:val="both"/>
        <w:rPr>
          <w:rFonts w:ascii="Arial" w:hAnsi="Arial"/>
        </w:rPr>
      </w:pPr>
      <w:r>
        <w:rPr/>
        <w:t>Additionally, EIB and EIBGH own a 45% interest in the control group of CEG-Rio, with Gas Natural, Iberdrola and Pluspetrol holding the same participation percentages in the control group of CEG-Rio as in CEG. The control group holds a 75% interest in CEG-Rio, giving Enron a net ownership interest in CEG-Rio of 33.75%. Petrobras Distribuidora S.A. (“BR”) holds the remaining 25% interest in CEG-Rio. BR is not part of the control group.</w:t>
      </w:r>
    </w:p>
    <w:p>
      <w:pPr>
        <w:pStyle w:val="BodyText"/>
        <w:tabs>
          <w:tab w:val="left" w:pos="720" w:leader="none"/>
          <w:tab w:val="left" w:pos="1080" w:leader="none"/>
          <w:tab w:val="right" w:pos="7560" w:leader="none"/>
          <w:tab w:val="left" w:pos="7920" w:leader="none"/>
          <w:tab w:val="decimal" w:pos="8640" w:leader="none"/>
        </w:tabs>
        <w:bidi w:val="0"/>
        <w:spacing w:before="120" w:after="120"/>
        <w:jc w:val="both"/>
        <w:rPr>
          <w:rFonts w:ascii="Arial" w:hAnsi="Arial"/>
        </w:rPr>
      </w:pPr>
      <w:r>
        <w:rPr/>
        <w:t>The Purchase Price will be paid in U.S. Dollars via wire transfer into the Ponderosa Debt Service Reserve account at Wilmington Trust Company.    Ponderosa will use the proceeds to prepay its loan from Sundance.    Sundance will use the proceeds to make a mandatory distribution to Rawhide (Sundance’s limited partner).    Rawhide will use the proceeds to make a mandatory prepayment on its bank loan.    [MENTION CAPITAL CONTRIBUTION OF RAWHIDE CONTRIBUTED VALUE SHORTFALL AMOUNT? …] As designated, the payment account is in the U.S.    Petrobras will also deliver the Gaspart Waiver to Enron at closing as additional consideration for this transaction.</w:t>
      </w:r>
    </w:p>
    <w:p>
      <w:pPr>
        <w:pStyle w:val="BodyTextIndent2"/>
        <w:bidi w:val="0"/>
        <w:jc w:val="start"/>
        <w:rPr>
          <w:rFonts w:ascii="Arial" w:hAnsi="Arial"/>
        </w:rPr>
      </w:pPr>
      <w:r>
        <w:rPr>
          <w:rFonts w:ascii="Arial" w:hAnsi="Arial"/>
        </w:rPr>
      </w:r>
    </w:p>
    <w:p>
      <w:pPr>
        <w:pStyle w:val="Heading2"/>
        <w:pBdr>
          <w:top w:val="single" w:sz="8" w:space="1" w:color="000000"/>
        </w:pBdr>
        <w:bidi w:val="0"/>
        <w:ind w:end="-36"/>
        <w:jc w:val="start"/>
        <w:rPr>
          <w:rFonts w:ascii="Arial" w:hAnsi="Arial"/>
          <w:i w:val="false"/>
          <w:i w:val="false"/>
        </w:rPr>
      </w:pPr>
      <w:r>
        <w:rPr/>
        <w:t>RETURN SUMMARY</w:t>
      </w:r>
    </w:p>
    <w:p>
      <w:pPr>
        <w:pStyle w:val="Normal"/>
        <w:bidi w:val="0"/>
        <w:jc w:val="start"/>
        <w:rPr>
          <w:rFonts w:ascii="Arial" w:hAnsi="Arial"/>
          <w:sz w:val="20"/>
        </w:rPr>
      </w:pPr>
      <w:r>
        <w:rPr/>
        <w:t>RAC has valued Enron’s interests in CEG and CEG-Rio using both comparable company and discounted cash flow analyses.    Both methodologies result in a valuation at a significant discount to the cash and total consideration to be received from this divestiture.</w:t>
      </w:r>
    </w:p>
    <w:p>
      <w:pPr>
        <w:pStyle w:val="Normal"/>
        <w:bidi w:val="0"/>
        <w:jc w:val="start"/>
        <w:rPr>
          <w:rFonts w:ascii="Arial" w:hAnsi="Arial"/>
          <w:sz w:val="20"/>
        </w:rPr>
      </w:pPr>
      <w:r>
        <w:rPr>
          <w:rFonts w:ascii="Arial" w:hAnsi="Arial"/>
          <w:sz w:val="20"/>
        </w:rPr>
      </w:r>
    </w:p>
    <w:p>
      <w:pPr>
        <w:pStyle w:val="Normal"/>
        <w:bidi w:val="0"/>
        <w:jc w:val="start"/>
        <w:rPr>
          <w:rFonts w:ascii="Arial" w:hAnsi="Arial"/>
          <w:sz w:val="20"/>
        </w:rPr>
      </w:pPr>
      <w:r>
        <w:rPr/>
        <w:t>Using a comparable company analysis using EBITDA multiples of six South American and European companies, RAC determined the following range of values for CEG and CEG-Rio collectively:</w:t>
      </w:r>
    </w:p>
    <w:p>
      <w:pPr>
        <w:pStyle w:val="Normal"/>
        <w:bidi w:val="0"/>
        <w:ind w:firstLine="720" w:start="720"/>
        <w:jc w:val="start"/>
        <w:rPr>
          <w:rFonts w:ascii="Arial" w:hAnsi="Arial"/>
          <w:sz w:val="20"/>
        </w:rPr>
      </w:pPr>
      <w:r>
        <w:rPr>
          <w:rFonts w:ascii="Arial" w:hAnsi="Arial"/>
          <w:sz w:val="20"/>
        </w:rPr>
      </w:r>
    </w:p>
    <w:p>
      <w:pPr>
        <w:pStyle w:val="Normal"/>
        <w:bidi w:val="0"/>
        <w:jc w:val="both"/>
        <w:rPr>
          <w:rFonts w:ascii="Arial" w:hAnsi="Arial"/>
          <w:color w:val="000000"/>
          <w:sz w:val="20"/>
        </w:rPr>
      </w:pPr>
      <w:r>
        <w:rPr/>
        <w:tab/>
        <w:tab/>
        <w:t>Maximum (10.8x 2001E EBITDA)</w:t>
        <w:tab/>
        <w:tab/>
        <w:t>$283.2 million</w:t>
      </w:r>
    </w:p>
    <w:p>
      <w:pPr>
        <w:pStyle w:val="Normal"/>
        <w:bidi w:val="0"/>
        <w:jc w:val="both"/>
        <w:rPr>
          <w:rFonts w:ascii="Arial" w:hAnsi="Arial"/>
          <w:color w:val="000000"/>
          <w:sz w:val="20"/>
        </w:rPr>
      </w:pPr>
      <w:r>
        <w:rPr/>
        <w:tab/>
        <w:tab/>
        <w:t>Mean (6.3x 2001E EBITDA)</w:t>
        <w:tab/>
        <w:tab/>
        <w:tab/>
        <w:t>$160.9 million</w:t>
      </w:r>
    </w:p>
    <w:p>
      <w:pPr>
        <w:pStyle w:val="Normal"/>
        <w:bidi w:val="0"/>
        <w:jc w:val="both"/>
        <w:rPr>
          <w:rFonts w:ascii="Arial" w:hAnsi="Arial"/>
          <w:color w:val="000000"/>
          <w:sz w:val="20"/>
        </w:rPr>
      </w:pPr>
      <w:r>
        <w:rPr/>
        <w:tab/>
        <w:tab/>
        <w:t>Minimum (4.5x 2001E EBITDA)</w:t>
        <w:tab/>
        <w:tab/>
        <w:tab/>
        <w:t>$111.7 million</w:t>
      </w:r>
    </w:p>
    <w:p>
      <w:pPr>
        <w:pStyle w:val="Normal"/>
        <w:bidi w:val="0"/>
        <w:jc w:val="both"/>
        <w:rPr>
          <w:rFonts w:ascii="Arial" w:hAnsi="Arial"/>
          <w:color w:val="000000"/>
          <w:sz w:val="20"/>
        </w:rPr>
      </w:pPr>
      <w:r>
        <w:rPr>
          <w:rFonts w:ascii="Arial" w:hAnsi="Arial"/>
          <w:color w:val="000000"/>
          <w:sz w:val="20"/>
        </w:rPr>
      </w:r>
    </w:p>
    <w:p>
      <w:pPr>
        <w:pStyle w:val="Normal"/>
        <w:bidi w:val="0"/>
        <w:jc w:val="both"/>
        <w:rPr>
          <w:rFonts w:ascii="Arial" w:hAnsi="Arial"/>
          <w:color w:val="000000"/>
          <w:sz w:val="20"/>
        </w:rPr>
      </w:pPr>
      <w:r>
        <w:rPr/>
        <w:t>Based upon this comparable company analysis, RAC considers the Purchase Price to be received by Enron (approximately 9.2x 2001E EBITDA), to be very attractive.    Only one of the comparable companies, Comgas, another Brazilian LDC, but one considered to have significantly greater growth prospects than CEG and CEG-Rio, had a higher EBITDA multiple.    Incorporating the total consideration received and valuing the Gaspart Waiver at the midpoint of the CSFB range of US $50 million, the consideration received represents 11.1x 2001E CEG/CEG-Rio EBITDA.</w:t>
      </w:r>
    </w:p>
    <w:p>
      <w:pPr>
        <w:pStyle w:val="Normal"/>
        <w:bidi w:val="0"/>
        <w:jc w:val="both"/>
        <w:rPr>
          <w:rFonts w:ascii="Arial" w:hAnsi="Arial"/>
          <w:color w:val="000000"/>
          <w:sz w:val="20"/>
        </w:rPr>
      </w:pPr>
      <w:r>
        <w:rPr>
          <w:rFonts w:ascii="Arial" w:hAnsi="Arial"/>
          <w:color w:val="000000"/>
          <w:sz w:val="20"/>
        </w:rPr>
      </w:r>
    </w:p>
    <w:p>
      <w:pPr>
        <w:pStyle w:val="Normal"/>
        <w:bidi w:val="0"/>
        <w:jc w:val="both"/>
        <w:rPr>
          <w:rFonts w:ascii="Arial" w:hAnsi="Arial"/>
          <w:color w:val="000000"/>
          <w:sz w:val="20"/>
        </w:rPr>
      </w:pPr>
      <w:r>
        <w:rPr/>
        <w:t xml:space="preserve">A probabilistic discounted cash flow valuation of CEG and CEG-Rio, using a 20.1% discount rate, was also run by RAC.    The valuation of US $121.0 million calculated using this method approximates 50% of the cash proceeds and 42% of the total proceeds, again using the midpoint of the CSFB range for the Gaspart Waiver.    Even ignoring the value of the Gaspart waiver, the cash to be received is $120 million greater than RAC’s discounted cash flow valuations of the CEG/CEG-Rio interests to be divested. </w:t>
      </w:r>
    </w:p>
    <w:p>
      <w:pPr>
        <w:pStyle w:val="Normal"/>
        <w:bidi w:val="0"/>
        <w:jc w:val="both"/>
        <w:rPr>
          <w:rFonts w:ascii="Arial" w:hAnsi="Arial"/>
          <w:color w:val="000000"/>
          <w:sz w:val="20"/>
        </w:rPr>
      </w:pPr>
      <w:r>
        <w:rPr>
          <w:rFonts w:ascii="Arial" w:hAnsi="Arial"/>
          <w:color w:val="000000"/>
          <w:sz w:val="20"/>
        </w:rPr>
      </w:r>
    </w:p>
    <w:p>
      <w:pPr>
        <w:pStyle w:val="Normal"/>
        <w:bidi w:val="0"/>
        <w:jc w:val="both"/>
        <w:rPr>
          <w:rFonts w:ascii="Arial" w:hAnsi="Arial"/>
          <w:color w:val="000000"/>
          <w:sz w:val="20"/>
        </w:rPr>
      </w:pPr>
      <w:r>
        <w:rPr/>
        <w:t>As of December 31, 2000 Enron’s net book equity position in CEG and CEG-Rio (before currency translation adjustment “CTA”) is US $269.8 million, as detailed below:</w:t>
      </w:r>
    </w:p>
    <w:p>
      <w:pPr>
        <w:pStyle w:val="Normal"/>
        <w:bidi w:val="0"/>
        <w:jc w:val="both"/>
        <w:rPr>
          <w:rFonts w:ascii="Arial" w:hAnsi="Arial"/>
          <w:color w:val="000000"/>
          <w:sz w:val="20"/>
        </w:rPr>
      </w:pPr>
      <w:r>
        <w:rPr>
          <w:rFonts w:ascii="Arial" w:hAnsi="Arial"/>
          <w:color w:val="000000"/>
          <w:sz w:val="20"/>
        </w:rPr>
      </w:r>
    </w:p>
    <w:p>
      <w:pPr>
        <w:pStyle w:val="Normal"/>
        <w:bidi w:val="0"/>
        <w:jc w:val="start"/>
        <w:rPr>
          <w:rFonts w:ascii="Arial" w:hAnsi="Arial"/>
          <w:sz w:val="20"/>
        </w:rPr>
      </w:pPr>
      <w:r>
        <w:rPr/>
        <w:t>Initial Investment</w:t>
        <w:tab/>
        <w:tab/>
        <w:tab/>
        <w:tab/>
        <w:t xml:space="preserve">US$266,549,000 </w:t>
      </w:r>
    </w:p>
    <w:p>
      <w:pPr>
        <w:pStyle w:val="Normal"/>
        <w:bidi w:val="0"/>
        <w:jc w:val="start"/>
        <w:rPr>
          <w:rFonts w:ascii="Arial" w:hAnsi="Arial"/>
          <w:sz w:val="20"/>
        </w:rPr>
      </w:pPr>
      <w:r>
        <w:rPr/>
        <w:t>Equity Earnings</w:t>
        <w:tab/>
        <w:tab/>
        <w:tab/>
        <w:tab/>
        <w:tab/>
        <w:t xml:space="preserve">US$        6,427,000 </w:t>
      </w:r>
    </w:p>
    <w:p>
      <w:pPr>
        <w:pStyle w:val="Normal"/>
        <w:bidi w:val="0"/>
        <w:jc w:val="start"/>
        <w:rPr>
          <w:rFonts w:ascii="Arial" w:hAnsi="Arial"/>
          <w:sz w:val="20"/>
        </w:rPr>
      </w:pPr>
      <w:r>
        <w:rPr/>
        <w:t>Less Goodwill Amortization</w:t>
        <w:tab/>
        <w:tab/>
        <w:tab/>
        <w:t>US$        3,134,000</w:t>
      </w:r>
    </w:p>
    <w:p>
      <w:pPr>
        <w:pStyle w:val="Header"/>
        <w:tabs>
          <w:tab w:val="clear" w:pos="4320"/>
          <w:tab w:val="clear" w:pos="8640"/>
        </w:tabs>
        <w:bidi w:val="0"/>
        <w:jc w:val="start"/>
        <w:rPr>
          <w:rFonts w:ascii="Arial" w:hAnsi="Arial"/>
        </w:rPr>
      </w:pPr>
      <w:r>
        <w:rPr/>
        <w:t xml:space="preserve">    </w:t>
      </w:r>
      <w:r>
        <w:rPr/>
        <w:t>Total Equity before CTA</w:t>
        <w:tab/>
        <w:tab/>
        <w:tab/>
        <w:t>US$269,842,000</w:t>
        <w:tab/>
      </w:r>
    </w:p>
    <w:p>
      <w:pPr>
        <w:pStyle w:val="Normal"/>
        <w:bidi w:val="0"/>
        <w:jc w:val="start"/>
        <w:rPr>
          <w:rFonts w:ascii="Arial" w:hAnsi="Arial"/>
          <w:sz w:val="20"/>
        </w:rPr>
      </w:pPr>
      <w:r>
        <w:rPr/>
        <w:t>Cumulative Translation Adjustment</w:t>
        <w:tab/>
        <w:tab/>
        <w:tab/>
        <w:t>US$118,136,000</w:t>
      </w:r>
    </w:p>
    <w:p>
      <w:pPr>
        <w:pStyle w:val="Heading6"/>
        <w:bidi w:val="0"/>
        <w:jc w:val="start"/>
        <w:rPr>
          <w:rFonts w:ascii="Arial" w:hAnsi="Arial"/>
          <w:b w:val="false"/>
        </w:rPr>
      </w:pPr>
      <w:r>
        <w:rPr/>
        <w:t>Total Equity, net of CTA</w:t>
        <w:tab/>
        <w:tab/>
        <w:tab/>
        <w:tab/>
        <w:tab/>
        <w:t>US$151,706,000</w:t>
      </w:r>
    </w:p>
    <w:p>
      <w:pPr>
        <w:pStyle w:val="Normal"/>
        <w:bidi w:val="0"/>
        <w:jc w:val="both"/>
        <w:rPr>
          <w:rFonts w:ascii="Arial" w:hAnsi="Arial"/>
          <w:color w:val="000000"/>
          <w:sz w:val="20"/>
        </w:rPr>
      </w:pPr>
      <w:r>
        <w:rPr>
          <w:rFonts w:ascii="Arial" w:hAnsi="Arial"/>
          <w:color w:val="000000"/>
          <w:sz w:val="20"/>
        </w:rPr>
      </w:r>
    </w:p>
    <w:p>
      <w:pPr>
        <w:pStyle w:val="Normal"/>
        <w:bidi w:val="0"/>
        <w:jc w:val="start"/>
        <w:rPr>
          <w:rFonts w:ascii="Arial" w:hAnsi="Arial"/>
          <w:sz w:val="20"/>
        </w:rPr>
      </w:pPr>
      <w:r>
        <w:rPr/>
        <w:t>The sale of CEG and CEG-Rio will generate pre-tax and after-tax accounting losses of approximately $28.8 million and $21.1 million, respectively.    At the time of the initial purchase of CEG and CEG-Rio by Enron and its Spanish partners, Gas Natural, Iberdrola and Pluspetrol (the “Spanish Parties”) in July 1997, the Brazilian Real/U.S. Dollar exchange rate was R$1.08 per US $1.    Since that time, there has been a significant devaluation (approximately 133%) and the Brazilian Real exchange rate is currently R$2.52 per US $1.    This devaluation has had a negative impact on the value and financial performance of both CEG and CEG-Rio in US Dollar terms.</w:t>
      </w:r>
    </w:p>
    <w:p>
      <w:pPr>
        <w:pStyle w:val="Normal"/>
        <w:bidi w:val="0"/>
        <w:jc w:val="start"/>
        <w:rPr>
          <w:rFonts w:ascii="Arial" w:hAnsi="Arial"/>
          <w:sz w:val="20"/>
        </w:rPr>
      </w:pPr>
      <w:r>
        <w:rPr>
          <w:rFonts w:ascii="Arial" w:hAnsi="Arial"/>
          <w:sz w:val="20"/>
        </w:rPr>
      </w:r>
    </w:p>
    <w:p>
      <w:pPr>
        <w:pStyle w:val="Heading2"/>
        <w:pBdr>
          <w:top w:val="single" w:sz="8" w:space="1" w:color="000000"/>
        </w:pBdr>
        <w:bidi w:val="0"/>
        <w:ind w:end="-36"/>
        <w:jc w:val="both"/>
        <w:rPr>
          <w:rFonts w:ascii="Arial" w:hAnsi="Arial"/>
          <w:i w:val="false"/>
          <w:i w:val="false"/>
        </w:rPr>
      </w:pPr>
      <w:r>
        <w:rPr/>
        <w:t xml:space="preserve"> </w:t>
      </w:r>
      <w:r>
        <w:rPr/>
        <w:t>CONDITIONS PRECEDENT</w:t>
      </w:r>
    </w:p>
    <w:p>
      <w:pPr>
        <w:pStyle w:val="Normal"/>
        <w:bidi w:val="0"/>
        <w:jc w:val="both"/>
        <w:rPr>
          <w:rFonts w:ascii="Arial" w:hAnsi="Arial"/>
          <w:color w:val="000000"/>
          <w:sz w:val="20"/>
        </w:rPr>
      </w:pPr>
      <w:r>
        <w:rPr>
          <w:rFonts w:ascii="Arial" w:hAnsi="Arial"/>
          <w:color w:val="000000"/>
          <w:sz w:val="20"/>
        </w:rPr>
      </w:r>
    </w:p>
    <w:p>
      <w:pPr>
        <w:pStyle w:val="Normal"/>
        <w:bidi w:val="0"/>
        <w:jc w:val="both"/>
        <w:rPr>
          <w:rFonts w:ascii="Arial" w:hAnsi="Arial"/>
          <w:color w:val="000000"/>
          <w:sz w:val="20"/>
        </w:rPr>
      </w:pPr>
      <w:r>
        <w:rPr/>
        <w:t xml:space="preserve">The sale transaction was conditioned on certain pre-closing conditions being met, including a corporate reorganization (the “Reorganization”) of GEC Participaçoes Ltda (“GEC”) and Ementhal Participaçoes Ltda (“Ementhal”), the Brazilian holding companies for Enron’s interests in CEG and CEG-Rio, respectively. Pursuant to provisions of the participation agreement and annexes thereto between Enron and the Spanish Parties (“PA Provisions”), the Spanish Parties claimed rights of first refusal with respect to the sale of Enron’s interests in CEG and CEG-Rio. The Spanish Parties made similar claims under the CEG-Rio Shareholders Agreement. Enron disputes these allegations.    In order to mitigate potential claims by the Spanish Parties,    the Petrobras purchase and sale agreement (the “PSA”) gave Enron a period of 40 business days after execution (“Offer Period”) in which to offer the same interests (the “Interests”) to the Spanish Parties on terms and conditions chosen by Enron. During the Offer Period, if Enron reached agreement with any or all of the Spanish Parties, or if any of the Spanish Parties filed a suit or action challenging the sale to Petrobras, Enron had the right to terminate the PSA.    </w:t>
      </w:r>
    </w:p>
    <w:p>
      <w:pPr>
        <w:pStyle w:val="Normal"/>
        <w:bidi w:val="0"/>
        <w:jc w:val="both"/>
        <w:rPr>
          <w:rFonts w:ascii="Arial" w:hAnsi="Arial"/>
          <w:color w:val="000000"/>
          <w:sz w:val="20"/>
        </w:rPr>
      </w:pPr>
      <w:r>
        <w:rPr>
          <w:rFonts w:ascii="Arial" w:hAnsi="Arial"/>
          <w:color w:val="000000"/>
          <w:sz w:val="20"/>
        </w:rPr>
      </w:r>
    </w:p>
    <w:p>
      <w:pPr>
        <w:pStyle w:val="Normal"/>
        <w:bidi w:val="0"/>
        <w:jc w:val="both"/>
        <w:rPr>
          <w:rFonts w:ascii="Arial" w:hAnsi="Arial"/>
          <w:color w:val="000000"/>
          <w:sz w:val="20"/>
        </w:rPr>
      </w:pPr>
      <w:r>
        <w:rPr/>
        <w:t>Enron offered (the “Offer”) to the Spanish Parties the right to purchase the Interests for US $241 million cash, plus Enron’s valuation of the Gaspart Waiver which, supported by a CS First Boston opinion, was US $50 million, plus LIBOR. The Offer was made upon execution of the PSA and was held open for 35 days.</w:t>
      </w:r>
    </w:p>
    <w:p>
      <w:pPr>
        <w:pStyle w:val="Normal"/>
        <w:bidi w:val="0"/>
        <w:jc w:val="both"/>
        <w:rPr>
          <w:rFonts w:ascii="Arial" w:hAnsi="Arial"/>
          <w:color w:val="000000"/>
          <w:sz w:val="20"/>
        </w:rPr>
      </w:pPr>
      <w:r>
        <w:rPr>
          <w:rFonts w:ascii="Arial" w:hAnsi="Arial"/>
          <w:color w:val="000000"/>
          <w:sz w:val="20"/>
        </w:rPr>
      </w:r>
    </w:p>
    <w:p>
      <w:pPr>
        <w:pStyle w:val="Normal"/>
        <w:bidi w:val="0"/>
        <w:jc w:val="both"/>
        <w:rPr>
          <w:rFonts w:ascii="Arial" w:hAnsi="Arial"/>
          <w:color w:val="000000"/>
          <w:sz w:val="20"/>
        </w:rPr>
      </w:pPr>
      <w:r>
        <w:rPr/>
        <w:t>Enron did not reach agreement with any of the Spanish Parties and no suit was filed by the Spanish Parties. Enron is therefore required, subject to the other terms of the PSA, to close with and to indemnify Petrobras and its designees, including Petros and TG Rio, (under the “Indemnity Agreement” referred to below) for claims asserted by the Spanish Parties under the PA Provisions. (See more detailed discussion in Risk Matrix.) Although Enron did not reach agreement with the Spanish Parties, Enron has been advised by Petrobras that Petrobras has reached agreement with Gas Natural and Iberdrola in connection with the transaction. Enron has not reviewed such agreement.</w:t>
      </w:r>
    </w:p>
    <w:p>
      <w:pPr>
        <w:pStyle w:val="Normal"/>
        <w:bidi w:val="0"/>
        <w:jc w:val="both"/>
        <w:rPr>
          <w:rFonts w:ascii="Arial" w:hAnsi="Arial"/>
          <w:color w:val="000000"/>
          <w:sz w:val="20"/>
        </w:rPr>
      </w:pPr>
      <w:r>
        <w:rPr>
          <w:rFonts w:ascii="Arial" w:hAnsi="Arial"/>
          <w:color w:val="000000"/>
          <w:sz w:val="20"/>
        </w:rPr>
      </w:r>
    </w:p>
    <w:p>
      <w:pPr>
        <w:pStyle w:val="Normal"/>
        <w:bidi w:val="0"/>
        <w:jc w:val="both"/>
        <w:rPr>
          <w:rFonts w:ascii="Arial" w:hAnsi="Arial"/>
          <w:color w:val="000000"/>
          <w:sz w:val="20"/>
        </w:rPr>
      </w:pPr>
      <w:r>
        <w:rPr/>
        <w:t xml:space="preserve">Enron and Petrobras have cooperated to clear the remaining conditions to their transaction, the principal conditions being the Reorganization (which has been completed), and approval by ASEP (the local regulatory agency) (informal approval of which is expected on November 22, 2001, see more detailed discussion in Risk Matrix). </w:t>
      </w:r>
    </w:p>
    <w:p>
      <w:pPr>
        <w:pStyle w:val="Normal"/>
        <w:bidi w:val="0"/>
        <w:jc w:val="both"/>
        <w:rPr>
          <w:rFonts w:ascii="Arial" w:hAnsi="Arial"/>
          <w:color w:val="000000"/>
          <w:sz w:val="20"/>
        </w:rPr>
      </w:pPr>
      <w:r>
        <w:rPr/>
        <w:t xml:space="preserve">    </w:t>
      </w:r>
    </w:p>
    <w:p>
      <w:pPr>
        <w:pStyle w:val="Normal"/>
        <w:bidi w:val="0"/>
        <w:jc w:val="both"/>
        <w:rPr>
          <w:rFonts w:ascii="Arial" w:hAnsi="Arial"/>
          <w:color w:val="000000"/>
          <w:sz w:val="20"/>
        </w:rPr>
      </w:pPr>
      <w:r>
        <w:rPr/>
        <w:t xml:space="preserve">To avoid renationalization issues relating to Petrobras and other structuring concerns, on the day prior to closing, EIB and EIBGH will enter into purchase agreements providing for the transfer following closing under the PSA of certain interests to Petrobras and to two other acquiring parties designated by Petrobras, Petros (the Petrobras employee pension fund) and TG Rio (a subsidiary of an unrelated, privately-owned Brazilian entity). Under the PSA, Petrobras remains responsible for making payment of the full purchase price in US Dollars to Enron outside of Brazil. </w:t>
      </w:r>
    </w:p>
    <w:p>
      <w:pPr>
        <w:pStyle w:val="Normal"/>
        <w:bidi w:val="0"/>
        <w:jc w:val="both"/>
        <w:rPr>
          <w:rFonts w:ascii="Arial" w:hAnsi="Arial"/>
          <w:color w:val="000000"/>
          <w:sz w:val="20"/>
        </w:rPr>
      </w:pPr>
      <w:r>
        <w:rPr>
          <w:rFonts w:ascii="Arial" w:hAnsi="Arial"/>
          <w:color w:val="000000"/>
          <w:sz w:val="20"/>
        </w:rPr>
      </w:r>
    </w:p>
    <w:p>
      <w:pPr>
        <w:pStyle w:val="Normal"/>
        <w:bidi w:val="0"/>
        <w:jc w:val="both"/>
        <w:rPr>
          <w:rFonts w:ascii="Arial" w:hAnsi="Arial"/>
          <w:color w:val="000000"/>
          <w:sz w:val="20"/>
        </w:rPr>
      </w:pPr>
      <w:r>
        <w:rPr/>
        <w:t>The PSA provides for an outside termination date of December 31, 2001, by which date all remaining closing conditions must have been satisfied or waived.</w:t>
      </w:r>
    </w:p>
    <w:p>
      <w:pPr>
        <w:pStyle w:val="Normal"/>
        <w:bidi w:val="0"/>
        <w:jc w:val="both"/>
        <w:rPr>
          <w:rFonts w:ascii="Arial" w:hAnsi="Arial"/>
          <w:color w:val="000000"/>
          <w:sz w:val="20"/>
        </w:rPr>
      </w:pPr>
      <w:r>
        <w:rPr>
          <w:rFonts w:ascii="Arial" w:hAnsi="Arial"/>
          <w:color w:val="000000"/>
          <w:sz w:val="20"/>
        </w:rPr>
      </w:r>
    </w:p>
    <w:p>
      <w:pPr>
        <w:pStyle w:val="Normal"/>
        <w:bidi w:val="0"/>
        <w:jc w:val="both"/>
        <w:rPr>
          <w:rFonts w:ascii="Arial" w:hAnsi="Arial"/>
          <w:b/>
          <w:color w:val="000000"/>
          <w:sz w:val="20"/>
        </w:rPr>
      </w:pPr>
      <w:r>
        <w:rPr/>
        <w:t>Transaction Rationale:</w:t>
      </w:r>
    </w:p>
    <w:p>
      <w:pPr>
        <w:pStyle w:val="Normal"/>
        <w:bidi w:val="0"/>
        <w:jc w:val="both"/>
        <w:rPr>
          <w:rFonts w:ascii="Arial" w:hAnsi="Arial"/>
          <w:color w:val="000000"/>
          <w:sz w:val="20"/>
        </w:rPr>
      </w:pPr>
      <w:r>
        <w:rPr>
          <w:rFonts w:ascii="Arial" w:hAnsi="Arial"/>
          <w:color w:val="000000"/>
          <w:sz w:val="20"/>
        </w:rPr>
      </w:r>
    </w:p>
    <w:p>
      <w:pPr>
        <w:pStyle w:val="Normal"/>
        <w:bidi w:val="0"/>
        <w:spacing w:lineRule="atLeast" w:line="240"/>
        <w:jc w:val="both"/>
        <w:rPr>
          <w:rFonts w:ascii="Arial" w:hAnsi="Arial"/>
          <w:color w:val="000000"/>
          <w:sz w:val="20"/>
        </w:rPr>
      </w:pPr>
      <w:r>
        <w:rPr/>
        <w:t>Enron purchased its indirect interests in CEG and CEG-Rio to develop a significant vertically integrated position in Brazil’s energy chain.    Based on current market conditions, Enron no longer considers it necessary to own Gas LDCs to pursue its interests in Brazil.    A sale of Enron’s interest in CEG and CEG-Rio to Petrobras combined with the Gaspart Waiver would be favorable to the overall Gas LDC sale process.</w:t>
      </w:r>
    </w:p>
    <w:p>
      <w:pPr>
        <w:pStyle w:val="Heading1"/>
        <w:bidi w:val="0"/>
        <w:jc w:val="start"/>
        <w:rPr>
          <w:rFonts w:ascii="Arial" w:hAnsi="Arial"/>
        </w:rPr>
      </w:pPr>
      <w:r>
        <w:rPr>
          <w:rFonts w:ascii="Arial" w:hAnsi="Arial"/>
        </w:rPr>
      </w:r>
    </w:p>
    <w:p>
      <w:pPr>
        <w:pStyle w:val="Heading1"/>
        <w:pBdr>
          <w:top w:val="single" w:sz="8" w:space="1" w:color="000000"/>
        </w:pBdr>
        <w:bidi w:val="0"/>
        <w:ind w:end="-36"/>
        <w:jc w:val="start"/>
        <w:rPr>
          <w:rFonts w:ascii="Arial" w:hAnsi="Arial"/>
        </w:rPr>
      </w:pPr>
      <w:r>
        <w:rPr/>
        <w:t>CASH FLOW SUMMARY</w:t>
      </w:r>
    </w:p>
    <w:p>
      <w:pPr>
        <w:pStyle w:val="Normal"/>
        <w:bidi w:val="0"/>
        <w:jc w:val="start"/>
        <w:rPr>
          <w:rFonts w:ascii="Arial" w:hAnsi="Arial"/>
          <w:sz w:val="20"/>
        </w:rPr>
      </w:pPr>
      <w:r>
        <w:rPr>
          <w:rFonts w:ascii="Arial" w:hAnsi="Arial"/>
          <w:sz w:val="20"/>
        </w:rPr>
      </w:r>
    </w:p>
    <w:p>
      <w:pPr>
        <w:pStyle w:val="Normal"/>
        <w:bidi w:val="0"/>
        <w:jc w:val="start"/>
        <w:rPr>
          <w:rFonts w:ascii="Arial" w:hAnsi="Arial"/>
          <w:strike/>
          <w:sz w:val="20"/>
        </w:rPr>
      </w:pPr>
      <w:r>
        <w:rPr/>
        <w:t>The sale of CEG and CEG-Rio is for the Purchase Price in cash to be paid into a US Ponderosa Debt Service Reserve account.        Ponderosa will use the proceeds to prepay its loan from Sundance.    Sundance will use the proceeds to make a mandatory distribution to Rawhide (Sundance’s limited partner).    Rawhide will use the proceeds to make a mandatory prepayment on its bank loan.     [MENTION CAPITAL CONTRIBUTION OF RAWHIDE CONTRIBUTED VALUE SHORTFALL AMOUNT? …]</w:t>
      </w:r>
    </w:p>
    <w:p>
      <w:pPr>
        <w:pStyle w:val="Normal"/>
        <w:bidi w:val="0"/>
        <w:jc w:val="start"/>
        <w:rPr>
          <w:rFonts w:ascii="Arial" w:hAnsi="Arial"/>
          <w:sz w:val="20"/>
        </w:rPr>
      </w:pPr>
      <w:r>
        <w:rPr>
          <w:rFonts w:ascii="Arial" w:hAnsi="Arial"/>
          <w:sz w:val="20"/>
        </w:rPr>
      </w:r>
    </w:p>
    <w:p>
      <w:pPr>
        <w:pStyle w:val="Normal"/>
        <w:bidi w:val="0"/>
        <w:jc w:val="start"/>
        <w:rPr>
          <w:rFonts w:ascii="Arial" w:hAnsi="Arial"/>
          <w:sz w:val="20"/>
        </w:rPr>
      </w:pPr>
      <w:r>
        <w:rPr>
          <w:rFonts w:ascii="Arial" w:hAnsi="Arial"/>
          <w:sz w:val="20"/>
        </w:rPr>
      </w:r>
    </w:p>
    <w:p>
      <w:pPr>
        <w:pStyle w:val="Heading2"/>
        <w:pBdr>
          <w:top w:val="single" w:sz="8" w:space="1" w:color="000000"/>
        </w:pBdr>
        <w:bidi w:val="0"/>
        <w:ind w:end="-36"/>
        <w:jc w:val="start"/>
        <w:rPr>
          <w:rFonts w:ascii="Arial" w:hAnsi="Arial"/>
          <w:b w:val="false"/>
          <w:i w:val="false"/>
          <w:i w:val="false"/>
        </w:rPr>
      </w:pPr>
      <w:r>
        <w:rPr/>
        <w:t>TRANSACTION UPSIDES/OPTIONALITY</w:t>
      </w:r>
    </w:p>
    <w:p>
      <w:pPr>
        <w:pStyle w:val="Normal"/>
        <w:bidi w:val="0"/>
        <w:jc w:val="start"/>
        <w:rPr>
          <w:rFonts w:ascii="Arial" w:hAnsi="Arial"/>
          <w:sz w:val="20"/>
        </w:rPr>
      </w:pPr>
      <w:r>
        <w:rPr>
          <w:rFonts w:ascii="Arial" w:hAnsi="Arial"/>
          <w:sz w:val="20"/>
        </w:rPr>
      </w:r>
    </w:p>
    <w:p>
      <w:pPr>
        <w:pStyle w:val="Normal"/>
        <w:bidi w:val="0"/>
        <w:ind w:end="-36"/>
        <w:jc w:val="start"/>
        <w:rPr>
          <w:rFonts w:ascii="Arial" w:hAnsi="Arial"/>
          <w:color w:val="000000"/>
          <w:sz w:val="20"/>
        </w:rPr>
      </w:pPr>
      <w:r>
        <w:rPr/>
        <w:t xml:space="preserve">As well as monetizing Enron’s entire position in CEG and CEG-Rio, this transaction, because of the Gaspart Waiver, is expected to significantly enhance the Enron sale process for the Gaspart LDCs.    </w:t>
      </w:r>
    </w:p>
    <w:p>
      <w:pPr>
        <w:pStyle w:val="Normal"/>
        <w:bidi w:val="0"/>
        <w:ind w:end="-36"/>
        <w:jc w:val="start"/>
        <w:rPr>
          <w:rFonts w:ascii="Arial" w:hAnsi="Arial"/>
          <w:sz w:val="20"/>
        </w:rPr>
      </w:pPr>
      <w:r>
        <w:rPr>
          <w:rFonts w:ascii="Arial" w:hAnsi="Arial"/>
          <w:sz w:val="20"/>
        </w:rPr>
      </w:r>
    </w:p>
    <w:p>
      <w:pPr>
        <w:pStyle w:val="Normal"/>
        <w:pBdr>
          <w:top w:val="single" w:sz="8" w:space="1" w:color="000000"/>
        </w:pBdr>
        <w:bidi w:val="0"/>
        <w:ind w:end="-36"/>
        <w:jc w:val="start"/>
        <w:rPr>
          <w:rFonts w:ascii="Arial" w:hAnsi="Arial"/>
          <w:b/>
          <w:sz w:val="20"/>
        </w:rPr>
      </w:pPr>
      <w:r>
        <w:rPr/>
        <w:t>RISK MATRIX</w:t>
      </w:r>
    </w:p>
    <w:tbl>
      <w:tblPr>
        <w:tblW w:w="10440" w:type="dxa"/>
        <w:jc w:val="start"/>
        <w:tblInd w:w="7" w:type="dxa"/>
        <w:tblLayout w:type="fixed"/>
        <w:tblCellMar>
          <w:top w:w="0" w:type="dxa"/>
          <w:start w:w="108" w:type="dxa"/>
          <w:bottom w:w="0" w:type="dxa"/>
          <w:end w:w="108" w:type="dxa"/>
        </w:tblCellMar>
      </w:tblPr>
      <w:tblGrid>
        <w:gridCol w:w="4787"/>
        <w:gridCol w:w="5652"/>
      </w:tblGrid>
      <w:tr>
        <w:trPr>
          <w:cantSplit w:val="true"/>
        </w:trPr>
        <w:tc>
          <w:tcPr>
            <w:tcW w:w="478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ind w:end="-36"/>
              <w:jc w:val="center"/>
              <w:rPr/>
            </w:pPr>
            <w:r>
              <w:rPr/>
              <w:t>DESCRIPTION</w:t>
            </w:r>
          </w:p>
        </w:tc>
        <w:tc>
          <w:tcPr>
            <w:tcW w:w="5652"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ind w:end="-36"/>
              <w:jc w:val="center"/>
              <w:rPr/>
            </w:pPr>
            <w:r>
              <w:rPr/>
              <w:t>MITIGATION/COMMENTS</w:t>
            </w:r>
          </w:p>
        </w:tc>
      </w:tr>
      <w:tr>
        <w:trPr>
          <w:cantSplit w:val="true"/>
        </w:trPr>
        <w:tc>
          <w:tcPr>
            <w:tcW w:w="478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rFonts w:ascii="Arial" w:hAnsi="Arial"/>
                <w:sz w:val="20"/>
              </w:rPr>
            </w:pPr>
            <w:r>
              <w:rPr/>
              <w:t>Litigation Risk – Alleged Rights of    First Refusal</w:t>
            </w:r>
          </w:p>
          <w:p>
            <w:pPr>
              <w:pStyle w:val="Normal"/>
              <w:tabs>
                <w:tab w:val="clear" w:pos="720"/>
              </w:tabs>
              <w:bidi w:val="0"/>
              <w:jc w:val="start"/>
              <w:rPr>
                <w:rFonts w:ascii="Arial" w:hAnsi="Arial"/>
                <w:sz w:val="20"/>
              </w:rPr>
            </w:pPr>
            <w:r>
              <w:rPr/>
              <w:t>The Spanish Parties allege that they have rights of first refusal under the PA Provisions and under the rights of first refusal provisions of the CEG-Rio Shareholders Agreement (“Riogas RoFR Provisions”).    Enron disputes this claim.</w:t>
            </w:r>
          </w:p>
          <w:p>
            <w:pPr>
              <w:pStyle w:val="Normal"/>
              <w:tabs>
                <w:tab w:val="clear" w:pos="720"/>
              </w:tabs>
              <w:bidi w:val="0"/>
              <w:ind w:end="-36"/>
              <w:jc w:val="start"/>
              <w:rPr>
                <w:rFonts w:ascii="Arial" w:hAnsi="Arial"/>
                <w:b/>
                <w:sz w:val="20"/>
              </w:rPr>
            </w:pPr>
            <w:r>
              <w:rPr>
                <w:rFonts w:ascii="Arial" w:hAnsi="Arial"/>
                <w:b/>
                <w:sz w:val="20"/>
              </w:rPr>
            </w:r>
          </w:p>
        </w:tc>
        <w:tc>
          <w:tcPr>
            <w:tcW w:w="5652"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rFonts w:ascii="Arial" w:hAnsi="Arial"/>
                <w:sz w:val="20"/>
              </w:rPr>
            </w:pPr>
            <w:r>
              <w:rPr/>
              <w:t>Enron has obtained legal opinions from Spanish counsel advising that the PA Provisions are    unenforceable as rights of first refusal under Spanish law. In addition, these opinions advise that even if the PA Provisions were enforceable, they would apply only to direct transfers of shares in CEG and CEG-Rio, and not to indirect transfers of shares in companies above CEG and CEG-Rio in the ownership chain.</w:t>
            </w:r>
          </w:p>
          <w:p>
            <w:pPr>
              <w:pStyle w:val="Normal"/>
              <w:tabs>
                <w:tab w:val="clear" w:pos="720"/>
              </w:tabs>
              <w:bidi w:val="0"/>
              <w:jc w:val="start"/>
              <w:rPr>
                <w:rFonts w:ascii="Arial" w:hAnsi="Arial"/>
                <w:sz w:val="20"/>
              </w:rPr>
            </w:pPr>
            <w:r>
              <w:rPr>
                <w:rFonts w:ascii="Arial" w:hAnsi="Arial"/>
                <w:sz w:val="20"/>
              </w:rPr>
            </w:r>
          </w:p>
          <w:p>
            <w:pPr>
              <w:pStyle w:val="Normal"/>
              <w:tabs>
                <w:tab w:val="clear" w:pos="720"/>
              </w:tabs>
              <w:bidi w:val="0"/>
              <w:jc w:val="start"/>
              <w:rPr>
                <w:rFonts w:ascii="Arial" w:hAnsi="Arial"/>
                <w:sz w:val="20"/>
              </w:rPr>
            </w:pPr>
            <w:r>
              <w:rPr/>
              <w:t>Similarly, Enron has obtained legal opinions from Brazilian counsel advising that, while the Riogas RoFR Provisions are enforceable as rights of first refusal under Brazilian law, the Riogas RoFR applies only to direct, and not to indirect transfers of shares in CEG-Rio.</w:t>
            </w:r>
          </w:p>
          <w:p>
            <w:pPr>
              <w:pStyle w:val="Normal"/>
              <w:tabs>
                <w:tab w:val="clear" w:pos="720"/>
              </w:tabs>
              <w:bidi w:val="0"/>
              <w:jc w:val="start"/>
              <w:rPr>
                <w:rFonts w:ascii="Arial" w:hAnsi="Arial"/>
                <w:sz w:val="20"/>
              </w:rPr>
            </w:pPr>
            <w:r>
              <w:rPr>
                <w:rFonts w:ascii="Arial" w:hAnsi="Arial"/>
                <w:sz w:val="20"/>
              </w:rPr>
            </w:r>
          </w:p>
          <w:p>
            <w:pPr>
              <w:pStyle w:val="Normal"/>
              <w:tabs>
                <w:tab w:val="clear" w:pos="720"/>
              </w:tabs>
              <w:bidi w:val="0"/>
              <w:jc w:val="start"/>
              <w:rPr>
                <w:rFonts w:ascii="Arial" w:hAnsi="Arial"/>
                <w:sz w:val="20"/>
              </w:rPr>
            </w:pPr>
            <w:r>
              <w:rPr/>
              <w:t xml:space="preserve">The Reorganization is required as a closing condition.    With respect to CEG-RIO Rio, the Reorganization was accomplished by a capital stock split, and the PSA provides for an equity transfer above CEG-Rio, i.e. above the level to which the PA Provisions and the Riogas RoFR would apply. With respect to CEG, the Reorganization was accomplished by a capital reduction. As a result, following closing, 12 % of the interest in CEG held by EIB and EIBGH will be transferred by EIB and EIBGH to Petrobras and by Petrobras to Petros directly.    The direct transfer of CEG shares increases the risk of challenge under the PA Provisions. </w:t>
            </w:r>
          </w:p>
          <w:p>
            <w:pPr>
              <w:pStyle w:val="Normal"/>
              <w:tabs>
                <w:tab w:val="clear" w:pos="720"/>
              </w:tabs>
              <w:bidi w:val="0"/>
              <w:jc w:val="start"/>
              <w:rPr>
                <w:rFonts w:ascii="Arial" w:hAnsi="Arial"/>
                <w:sz w:val="20"/>
              </w:rPr>
            </w:pPr>
            <w:r>
              <w:rPr>
                <w:rFonts w:ascii="Arial" w:hAnsi="Arial"/>
                <w:sz w:val="20"/>
              </w:rPr>
            </w:r>
          </w:p>
          <w:p>
            <w:pPr>
              <w:pStyle w:val="Normal"/>
              <w:tabs>
                <w:tab w:val="clear" w:pos="720"/>
              </w:tabs>
              <w:bidi w:val="0"/>
              <w:jc w:val="start"/>
              <w:rPr>
                <w:rFonts w:ascii="Arial" w:hAnsi="Arial"/>
                <w:sz w:val="20"/>
              </w:rPr>
            </w:pPr>
            <w:r>
              <w:rPr/>
              <w:t>To mitigate its litigation risk, Enron took the following measures:</w:t>
            </w:r>
          </w:p>
          <w:p>
            <w:pPr>
              <w:pStyle w:val="Normal"/>
              <w:tabs>
                <w:tab w:val="clear" w:pos="720"/>
              </w:tabs>
              <w:bidi w:val="0"/>
              <w:jc w:val="start"/>
              <w:rPr>
                <w:rFonts w:ascii="Arial" w:hAnsi="Arial"/>
                <w:sz w:val="20"/>
              </w:rPr>
            </w:pPr>
            <w:r>
              <w:rPr>
                <w:rFonts w:ascii="Arial" w:hAnsi="Arial"/>
                <w:sz w:val="20"/>
              </w:rPr>
            </w:r>
          </w:p>
          <w:p>
            <w:pPr>
              <w:pStyle w:val="Normal"/>
              <w:tabs>
                <w:tab w:val="left" w:pos="720" w:leader="none"/>
              </w:tabs>
              <w:bidi w:val="0"/>
              <w:ind w:hanging="360" w:start="720"/>
              <w:jc w:val="start"/>
              <w:rPr>
                <w:rFonts w:ascii="Arial" w:hAnsi="Arial"/>
                <w:sz w:val="20"/>
              </w:rPr>
            </w:pPr>
            <w:r>
              <w:rPr/>
              <w:t>-</w:t>
              <w:tab/>
              <w:t>Made the Offer, giving the Spanish Parties the right to acquire all but not less than all of Enron’s indirect interests in CEG and CEG-Rio on essentially the same terms as were offered to Petrobras; the exceptions being (1) the sale price was the Petrobras cash price (US $241 million), plus an amount to compensate for the value of the Gaspart Waiver (US $50 million), plus LIBOR, and (2) changes relating to the Petrobras ownership structure, which are unique to the Petrobras transaction.</w:t>
            </w:r>
          </w:p>
          <w:p>
            <w:pPr>
              <w:pStyle w:val="Normal"/>
              <w:tabs>
                <w:tab w:val="clear" w:pos="720"/>
              </w:tabs>
              <w:bidi w:val="0"/>
              <w:jc w:val="start"/>
              <w:rPr>
                <w:rFonts w:ascii="Arial" w:hAnsi="Arial"/>
                <w:sz w:val="20"/>
              </w:rPr>
            </w:pPr>
            <w:r>
              <w:rPr>
                <w:rFonts w:ascii="Arial" w:hAnsi="Arial"/>
                <w:sz w:val="20"/>
              </w:rPr>
            </w:r>
          </w:p>
          <w:p>
            <w:pPr>
              <w:pStyle w:val="Normal"/>
              <w:tabs>
                <w:tab w:val="left" w:pos="720" w:leader="none"/>
              </w:tabs>
              <w:bidi w:val="0"/>
              <w:ind w:hanging="360" w:start="720"/>
              <w:jc w:val="start"/>
              <w:rPr>
                <w:rFonts w:ascii="Arial" w:hAnsi="Arial"/>
                <w:sz w:val="20"/>
              </w:rPr>
            </w:pPr>
            <w:r>
              <w:rPr/>
              <w:t>-</w:t>
              <w:tab/>
              <w:t xml:space="preserve">Held the Offer open for 35 days.    </w:t>
            </w:r>
          </w:p>
          <w:p>
            <w:pPr>
              <w:pStyle w:val="Normal"/>
              <w:tabs>
                <w:tab w:val="clear" w:pos="720"/>
              </w:tabs>
              <w:bidi w:val="0"/>
              <w:jc w:val="start"/>
              <w:rPr>
                <w:rFonts w:ascii="Arial" w:hAnsi="Arial"/>
                <w:sz w:val="20"/>
              </w:rPr>
            </w:pPr>
            <w:r>
              <w:rPr>
                <w:rFonts w:ascii="Arial" w:hAnsi="Arial"/>
                <w:sz w:val="20"/>
              </w:rPr>
            </w:r>
          </w:p>
          <w:p>
            <w:pPr>
              <w:pStyle w:val="Normal"/>
              <w:tabs>
                <w:tab w:val="clear" w:pos="720"/>
              </w:tabs>
              <w:bidi w:val="0"/>
              <w:jc w:val="start"/>
              <w:rPr>
                <w:rFonts w:ascii="Arial" w:hAnsi="Arial"/>
                <w:sz w:val="20"/>
              </w:rPr>
            </w:pPr>
            <w:r>
              <w:rPr/>
              <w:t xml:space="preserve">Based on the advice of arbitration counsel, making the Offer improves Enron’s contention in arbitration or litigation that the Spanish Parties had the right to acquire the interests on essentially the same terms as the PSA, thereby complying with the PA Provisions (if the PA Provisions would be found to be applicable).    Failure to accept the Offer gives rise to a potential defense against the Spanish Parties for failure to reasonably mitigate damages. </w:t>
            </w:r>
          </w:p>
          <w:p>
            <w:pPr>
              <w:pStyle w:val="Normal"/>
              <w:tabs>
                <w:tab w:val="clear" w:pos="720"/>
              </w:tabs>
              <w:bidi w:val="0"/>
              <w:jc w:val="start"/>
              <w:rPr>
                <w:rFonts w:ascii="Arial" w:hAnsi="Arial"/>
                <w:sz w:val="20"/>
              </w:rPr>
            </w:pPr>
            <w:r>
              <w:rPr>
                <w:rFonts w:ascii="Arial" w:hAnsi="Arial"/>
                <w:sz w:val="20"/>
              </w:rPr>
            </w:r>
          </w:p>
          <w:p>
            <w:pPr>
              <w:pStyle w:val="Normal"/>
              <w:tabs>
                <w:tab w:val="clear" w:pos="720"/>
              </w:tabs>
              <w:bidi w:val="0"/>
              <w:jc w:val="start"/>
              <w:rPr>
                <w:rFonts w:ascii="Arial" w:hAnsi="Arial"/>
                <w:sz w:val="20"/>
              </w:rPr>
            </w:pPr>
            <w:r>
              <w:rPr/>
              <w:t>Enron did not agree to a purchase and sale agreement with any of the Spanish Parties during the Offer Period, and as a result Enron has an indemnity obligation to Petrobras, Petros and TG Rio. The Spanish Parties might challenge the value attributed in the Offer to the Gaspart Waiver. The CS First Boston opinion supports the value of the Gaspart Waiver at between US $40 million and US $60 million.</w:t>
            </w:r>
          </w:p>
          <w:p>
            <w:pPr>
              <w:pStyle w:val="Normal"/>
              <w:tabs>
                <w:tab w:val="clear" w:pos="720"/>
              </w:tabs>
              <w:bidi w:val="0"/>
              <w:jc w:val="start"/>
              <w:rPr>
                <w:rFonts w:ascii="Arial" w:hAnsi="Arial"/>
                <w:sz w:val="20"/>
              </w:rPr>
            </w:pPr>
            <w:r>
              <w:rPr>
                <w:rFonts w:ascii="Arial" w:hAnsi="Arial"/>
                <w:sz w:val="20"/>
              </w:rPr>
            </w:r>
          </w:p>
          <w:p>
            <w:pPr>
              <w:pStyle w:val="Normal"/>
              <w:tabs>
                <w:tab w:val="clear" w:pos="720"/>
              </w:tabs>
              <w:bidi w:val="0"/>
              <w:ind w:end="-36"/>
              <w:jc w:val="start"/>
              <w:rPr>
                <w:rFonts w:ascii="Arial" w:hAnsi="Arial"/>
                <w:b/>
                <w:sz w:val="20"/>
              </w:rPr>
            </w:pPr>
            <w:r>
              <w:rPr>
                <w:rFonts w:ascii="Arial" w:hAnsi="Arial"/>
                <w:b/>
                <w:sz w:val="20"/>
              </w:rPr>
            </w:r>
          </w:p>
        </w:tc>
      </w:tr>
    </w:tbl>
    <w:p>
      <w:pPr>
        <w:pStyle w:val="Normal"/>
        <w:bidi w:val="0"/>
        <w:jc w:val="start"/>
        <w:rPr>
          <w:rFonts w:ascii="Arial" w:hAnsi="Arial"/>
          <w:sz w:val="20"/>
        </w:rPr>
      </w:pPr>
      <w:r>
        <w:rPr>
          <w:rFonts w:ascii="Arial" w:hAnsi="Arial"/>
          <w:sz w:val="20"/>
        </w:rPr>
      </w:r>
    </w:p>
    <w:tbl>
      <w:tblPr>
        <w:tblW w:w="10440" w:type="dxa"/>
        <w:jc w:val="start"/>
        <w:tblInd w:w="7" w:type="dxa"/>
        <w:tblLayout w:type="fixed"/>
        <w:tblCellMar>
          <w:top w:w="0" w:type="dxa"/>
          <w:start w:w="108" w:type="dxa"/>
          <w:bottom w:w="0" w:type="dxa"/>
          <w:end w:w="108" w:type="dxa"/>
        </w:tblCellMar>
      </w:tblPr>
      <w:tblGrid>
        <w:gridCol w:w="4787"/>
        <w:gridCol w:w="5652"/>
      </w:tblGrid>
      <w:tr>
        <w:trPr>
          <w:cantSplit w:val="true"/>
        </w:trPr>
        <w:tc>
          <w:tcPr>
            <w:tcW w:w="478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rFonts w:ascii="Arial" w:hAnsi="Arial"/>
                <w:sz w:val="20"/>
              </w:rPr>
            </w:pPr>
            <w:r>
              <w:rPr/>
              <w:t>Regulatory Risk – Failure to Obtain Approvals.</w:t>
            </w:r>
          </w:p>
          <w:p>
            <w:pPr>
              <w:pStyle w:val="Normal"/>
              <w:tabs>
                <w:tab w:val="clear" w:pos="720"/>
              </w:tabs>
              <w:bidi w:val="0"/>
              <w:ind w:end="-36"/>
              <w:jc w:val="start"/>
              <w:rPr/>
            </w:pPr>
            <w:r>
              <w:rPr/>
              <w:t>While Petrobras and Enron agree that the approval of ASEP (the state regulator in Rio de Janeiro) is not required to approve the transaction under the concession (based on the argument that a change of control has not occurred), the PSA does require the approval of ASEP.</w:t>
            </w:r>
          </w:p>
        </w:tc>
        <w:tc>
          <w:tcPr>
            <w:tcW w:w="5652"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rFonts w:ascii="Arial" w:hAnsi="Arial"/>
                <w:sz w:val="20"/>
              </w:rPr>
            </w:pPr>
            <w:r>
              <w:rPr/>
              <w:t>Petrobras has good relations with the State of Rio de Janeiro, and the Secretary of Energy for the State is a former Petrobras employee. Although Enron has been advised by Brazilian counsel (and Petrobras agrees) that a change of control will not have occurred and that ASEP approval is not required, Petrobras is seeking ASEP approval. The parties expect to receive the approval of the ASEP Management Council during the week of November 22.</w:t>
            </w:r>
          </w:p>
          <w:p>
            <w:pPr>
              <w:pStyle w:val="Normal"/>
              <w:tabs>
                <w:tab w:val="clear" w:pos="720"/>
              </w:tabs>
              <w:bidi w:val="0"/>
              <w:jc w:val="start"/>
              <w:rPr>
                <w:rFonts w:ascii="Arial" w:hAnsi="Arial"/>
                <w:sz w:val="20"/>
              </w:rPr>
            </w:pPr>
            <w:r>
              <w:rPr>
                <w:rFonts w:ascii="Arial" w:hAnsi="Arial"/>
                <w:sz w:val="20"/>
              </w:rPr>
            </w:r>
          </w:p>
          <w:p>
            <w:pPr>
              <w:pStyle w:val="BodyText"/>
              <w:tabs>
                <w:tab w:val="clear" w:pos="720"/>
              </w:tabs>
              <w:bidi w:val="0"/>
              <w:jc w:val="start"/>
              <w:rPr>
                <w:rFonts w:ascii="Arial" w:hAnsi="Arial"/>
              </w:rPr>
            </w:pPr>
            <w:r>
              <w:rPr/>
              <w:t>ASEP has the power to conduct due diligence. The ASEP Management Council has placed this transaction on its agenda for discussion at its November 22, 2001 meeting. The ASEP Management Council’s recommendation is required to be published in its Official Gazette and does not become final until the Governor of Rio de Janeiro’s authorization is published in the Official Gazette. Brazilian counsel has advised that it is unusual for a Governor not to authorize a transaction that was formally approved by the ASEP Management Council. Brazilian counsel has also advised that it is unlikely that the Governor’s formal approval will be received on or prior to the Closing and Petrobras has agreed to close based on the ASEP Management Council’s approval (without the Governor’s authorization). Brazilian counsel has advised that there is very little risk that the Governor will not grant authorization once the ASEP Management Council has recommended approval. We are in the process of requesting a letter from Petrobras waiving the Governor’s authorization as a condition to closing and assuming responsibility for any liability should the Governor not grant authorization.    There is no assurance that Petrobras will provide such a letter of indemnity.</w:t>
            </w:r>
          </w:p>
          <w:p>
            <w:pPr>
              <w:pStyle w:val="Normal"/>
              <w:tabs>
                <w:tab w:val="clear" w:pos="720"/>
              </w:tabs>
              <w:bidi w:val="0"/>
              <w:jc w:val="both"/>
              <w:rPr>
                <w:rFonts w:ascii="Arial" w:hAnsi="Arial"/>
                <w:sz w:val="20"/>
              </w:rPr>
            </w:pPr>
            <w:r>
              <w:rPr>
                <w:rFonts w:ascii="Arial" w:hAnsi="Arial"/>
                <w:sz w:val="20"/>
              </w:rPr>
            </w:r>
          </w:p>
          <w:p>
            <w:pPr>
              <w:pStyle w:val="Normal"/>
              <w:tabs>
                <w:tab w:val="clear" w:pos="720"/>
              </w:tabs>
              <w:bidi w:val="0"/>
              <w:jc w:val="both"/>
              <w:rPr>
                <w:rFonts w:ascii="Arial" w:hAnsi="Arial"/>
                <w:sz w:val="20"/>
              </w:rPr>
            </w:pPr>
            <w:r>
              <w:rPr/>
              <w:t>The worst possible case that could arise, should the sale close and the Governor not grant authorization, is that ASEP could revoke the concession and thus expose Enron to liability from the other investors in CEG/CEG-Rio.    Again, given the fact that we believe ASEP approval is not required in any event and the fact that we have been advised that the likelihood that the Governor would not grant his authorization is remote, we, plan to waive the condition precedent rlating relating to formal ASEP approval and close based on the ASEP Management Council’s approval, if the Governor has not granted authorization prior to the closing (even if Petrobras does not provide a letter of indemnity).</w:t>
            </w:r>
          </w:p>
          <w:p>
            <w:pPr>
              <w:pStyle w:val="Normal"/>
              <w:tabs>
                <w:tab w:val="clear" w:pos="720"/>
              </w:tabs>
              <w:bidi w:val="0"/>
              <w:jc w:val="start"/>
              <w:rPr>
                <w:rFonts w:ascii="Arial" w:hAnsi="Arial"/>
                <w:sz w:val="20"/>
              </w:rPr>
            </w:pPr>
            <w:r>
              <w:rPr>
                <w:rFonts w:ascii="Arial" w:hAnsi="Arial"/>
                <w:sz w:val="20"/>
              </w:rPr>
            </w:r>
          </w:p>
          <w:p>
            <w:pPr>
              <w:pStyle w:val="Normal"/>
              <w:tabs>
                <w:tab w:val="clear" w:pos="720"/>
              </w:tabs>
              <w:bidi w:val="0"/>
              <w:jc w:val="start"/>
              <w:rPr>
                <w:rFonts w:ascii="Arial" w:hAnsi="Arial"/>
                <w:sz w:val="20"/>
              </w:rPr>
            </w:pPr>
            <w:r>
              <w:rPr/>
              <w:t>All authorizations from governmental authorities must be obtained prior to closing, which includes ASEP approval.    If all conditions precedent are not satisfied or waived prior to December 31, 2001, any party may terminate.</w:t>
            </w:r>
          </w:p>
          <w:p>
            <w:pPr>
              <w:pStyle w:val="Normal"/>
              <w:tabs>
                <w:tab w:val="clear" w:pos="720"/>
              </w:tabs>
              <w:bidi w:val="0"/>
              <w:ind w:end="-36"/>
              <w:jc w:val="start"/>
              <w:rPr>
                <w:rFonts w:ascii="Arial" w:hAnsi="Arial"/>
                <w:b/>
                <w:sz w:val="20"/>
              </w:rPr>
            </w:pPr>
            <w:r>
              <w:rPr>
                <w:rFonts w:ascii="Arial" w:hAnsi="Arial"/>
                <w:b/>
                <w:sz w:val="20"/>
              </w:rPr>
            </w:r>
          </w:p>
        </w:tc>
      </w:tr>
      <w:tr>
        <w:trPr>
          <w:cantSplit w:val="true"/>
        </w:trPr>
        <w:tc>
          <w:tcPr>
            <w:tcW w:w="478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rFonts w:ascii="Arial" w:hAnsi="Arial"/>
                <w:sz w:val="20"/>
              </w:rPr>
            </w:pPr>
            <w:r>
              <w:rPr/>
              <w:t>Restructuring Risk.</w:t>
            </w:r>
          </w:p>
          <w:p>
            <w:pPr>
              <w:pStyle w:val="Normal"/>
              <w:tabs>
                <w:tab w:val="clear" w:pos="720"/>
              </w:tabs>
              <w:bidi w:val="0"/>
              <w:ind w:end="-36"/>
              <w:jc w:val="start"/>
              <w:rPr>
                <w:rFonts w:ascii="Arial" w:hAnsi="Arial"/>
                <w:sz w:val="20"/>
              </w:rPr>
            </w:pPr>
            <w:r>
              <w:rPr/>
              <w:t xml:space="preserve">The restructuring (through reverse merger, stock split-off, liquidation or capital reduction) of GEC and Ementhal is a condition to closing, </w:t>
            </w:r>
          </w:p>
          <w:p>
            <w:pPr>
              <w:pStyle w:val="Normal"/>
              <w:tabs>
                <w:tab w:val="clear" w:pos="720"/>
              </w:tabs>
              <w:bidi w:val="0"/>
              <w:ind w:end="-36"/>
              <w:jc w:val="start"/>
              <w:rPr>
                <w:rFonts w:ascii="Arial" w:hAnsi="Arial"/>
                <w:b/>
                <w:sz w:val="20"/>
              </w:rPr>
            </w:pPr>
            <w:r>
              <w:rPr>
                <w:rFonts w:ascii="Arial" w:hAnsi="Arial"/>
                <w:b/>
                <w:sz w:val="20"/>
              </w:rPr>
            </w:r>
          </w:p>
        </w:tc>
        <w:tc>
          <w:tcPr>
            <w:tcW w:w="5652"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rFonts w:ascii="Arial" w:hAnsi="Arial"/>
                <w:sz w:val="20"/>
              </w:rPr>
            </w:pPr>
            <w:r>
              <w:rPr/>
              <w:t>We applied to the CVM for approval of a type of restructuring different from that which we consummated and CVM denied approval.    According to Brazilian counsel, the restructuring that we consummated does not require CVM approval.    However, CVM could challenge the restructuring, which would give rise to a condition precedent to closing.    If all conditions precedent are not satisfied or waived prior to December 31, 2001, any party has the right to terminate.</w:t>
            </w:r>
          </w:p>
          <w:p>
            <w:pPr>
              <w:pStyle w:val="Normal"/>
              <w:tabs>
                <w:tab w:val="clear" w:pos="720"/>
              </w:tabs>
              <w:bidi w:val="0"/>
              <w:ind w:end="-36"/>
              <w:jc w:val="start"/>
              <w:rPr>
                <w:rFonts w:ascii="Arial" w:hAnsi="Arial"/>
                <w:b/>
                <w:sz w:val="20"/>
              </w:rPr>
            </w:pPr>
            <w:r>
              <w:rPr>
                <w:rFonts w:ascii="Arial" w:hAnsi="Arial"/>
                <w:b/>
                <w:sz w:val="20"/>
              </w:rPr>
            </w:r>
          </w:p>
        </w:tc>
      </w:tr>
      <w:tr>
        <w:trPr>
          <w:cantSplit w:val="true"/>
        </w:trPr>
        <w:tc>
          <w:tcPr>
            <w:tcW w:w="478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rFonts w:ascii="Arial" w:hAnsi="Arial"/>
                <w:sz w:val="20"/>
              </w:rPr>
            </w:pPr>
            <w:r>
              <w:rPr/>
              <w:t>Renationalization Risk.</w:t>
            </w:r>
          </w:p>
          <w:p>
            <w:pPr>
              <w:pStyle w:val="Normal"/>
              <w:tabs>
                <w:tab w:val="clear" w:pos="720"/>
              </w:tabs>
              <w:bidi w:val="0"/>
              <w:ind w:end="-36"/>
              <w:jc w:val="start"/>
              <w:rPr/>
            </w:pPr>
            <w:r>
              <w:rPr/>
              <w:t xml:space="preserve">If    Petrobras’s ownership interests, combined with that of BNDES (another entity controlled by the Brazilian government), constitute more than 50% of CEG or CEG-Rio, a risk exists that these gas LDCs will have been “renationalized” in violation of the legislation devolving control over gas distribution to the States. </w:t>
            </w:r>
          </w:p>
        </w:tc>
        <w:tc>
          <w:tcPr>
            <w:tcW w:w="5652" w:type="dxa"/>
            <w:tcBorders>
              <w:top w:val="single" w:sz="6" w:space="0" w:color="000000"/>
              <w:start w:val="single" w:sz="6" w:space="0" w:color="000000"/>
              <w:bottom w:val="single" w:sz="6" w:space="0" w:color="000000"/>
              <w:end w:val="single" w:sz="6" w:space="0" w:color="000000"/>
            </w:tcBorders>
          </w:tcPr>
          <w:p>
            <w:pPr>
              <w:pStyle w:val="CommentText"/>
              <w:tabs>
                <w:tab w:val="clear" w:pos="720"/>
              </w:tabs>
              <w:bidi w:val="0"/>
              <w:jc w:val="start"/>
              <w:rPr>
                <w:rFonts w:ascii="Arial" w:hAnsi="Arial"/>
              </w:rPr>
            </w:pPr>
            <w:r>
              <w:rPr/>
              <w:t>Part of the interests are to be purchased by Petrobras’s designees, Petros (the Petrobras employee pension fund) and TG Rio.    These interests to be held by private parties should prevent CEG and CEG-Rio from being federal government-controlled entities.</w:t>
            </w:r>
          </w:p>
          <w:p>
            <w:pPr>
              <w:pStyle w:val="CommentText"/>
              <w:tabs>
                <w:tab w:val="clear" w:pos="720"/>
              </w:tabs>
              <w:bidi w:val="0"/>
              <w:jc w:val="start"/>
              <w:rPr>
                <w:rFonts w:ascii="Arial" w:hAnsi="Arial"/>
              </w:rPr>
            </w:pPr>
            <w:r>
              <w:rPr>
                <w:rFonts w:ascii="Arial" w:hAnsi="Arial"/>
              </w:rPr>
            </w:r>
          </w:p>
          <w:p>
            <w:pPr>
              <w:pStyle w:val="CommentText"/>
              <w:tabs>
                <w:tab w:val="clear" w:pos="720"/>
              </w:tabs>
              <w:bidi w:val="0"/>
              <w:jc w:val="start"/>
              <w:rPr>
                <w:rFonts w:ascii="Arial" w:hAnsi="Arial"/>
              </w:rPr>
            </w:pPr>
            <w:r>
              <w:rPr/>
              <w:t>Brazilian counsel has advised that, while there is no precedent, the structure appears to avoid renationalization.</w:t>
            </w:r>
          </w:p>
          <w:p>
            <w:pPr>
              <w:pStyle w:val="CommentText"/>
              <w:tabs>
                <w:tab w:val="clear" w:pos="720"/>
              </w:tabs>
              <w:bidi w:val="0"/>
              <w:jc w:val="start"/>
              <w:rPr>
                <w:rFonts w:ascii="Arial" w:hAnsi="Arial"/>
              </w:rPr>
            </w:pPr>
            <w:r>
              <w:rPr>
                <w:rFonts w:ascii="Arial" w:hAnsi="Arial"/>
              </w:rPr>
            </w:r>
          </w:p>
          <w:p>
            <w:pPr>
              <w:pStyle w:val="CommentText"/>
              <w:tabs>
                <w:tab w:val="clear" w:pos="720"/>
              </w:tabs>
              <w:bidi w:val="0"/>
              <w:jc w:val="start"/>
              <w:rPr>
                <w:rFonts w:ascii="Arial" w:hAnsi="Arial"/>
              </w:rPr>
            </w:pPr>
            <w:r>
              <w:rPr/>
              <w:t>A legal action challenging an alleged renationalizaiton would give rise to a condition precedent to closing.    If all conditions precedent are not satisfied or waived prior to December 31, 2001, any party has the right to terminate.</w:t>
            </w:r>
          </w:p>
          <w:p>
            <w:pPr>
              <w:pStyle w:val="Normal"/>
              <w:tabs>
                <w:tab w:val="clear" w:pos="720"/>
              </w:tabs>
              <w:bidi w:val="0"/>
              <w:ind w:end="-36"/>
              <w:jc w:val="start"/>
              <w:rPr>
                <w:rFonts w:ascii="Arial" w:hAnsi="Arial"/>
                <w:b/>
                <w:sz w:val="20"/>
              </w:rPr>
            </w:pPr>
            <w:r>
              <w:rPr>
                <w:rFonts w:ascii="Arial" w:hAnsi="Arial"/>
                <w:b/>
                <w:sz w:val="20"/>
              </w:rPr>
            </w:r>
          </w:p>
        </w:tc>
      </w:tr>
      <w:tr>
        <w:trPr>
          <w:cantSplit w:val="true"/>
        </w:trPr>
        <w:tc>
          <w:tcPr>
            <w:tcW w:w="478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rFonts w:ascii="Arial" w:hAnsi="Arial"/>
                <w:sz w:val="20"/>
                <w:u w:val="single"/>
              </w:rPr>
            </w:pPr>
            <w:r>
              <w:rPr/>
              <w:t>Tax Risk</w:t>
            </w:r>
          </w:p>
          <w:p>
            <w:pPr>
              <w:pStyle w:val="Normal"/>
              <w:tabs>
                <w:tab w:val="clear" w:pos="720"/>
              </w:tabs>
              <w:bidi w:val="0"/>
              <w:ind w:end="-36"/>
              <w:jc w:val="start"/>
              <w:rPr/>
            </w:pPr>
            <w:r>
              <w:rPr/>
              <w:t>Risk of Brazilian Tax on the Sale</w:t>
            </w:r>
          </w:p>
        </w:tc>
        <w:tc>
          <w:tcPr>
            <w:tcW w:w="5652"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spacing w:lineRule="atLeast" w:line="240"/>
              <w:jc w:val="start"/>
              <w:rPr>
                <w:rFonts w:ascii="Arial" w:hAnsi="Arial"/>
                <w:color w:val="000000"/>
                <w:sz w:val="20"/>
              </w:rPr>
            </w:pPr>
            <w:r>
              <w:rPr/>
              <w:t>Petrobras's offshore payment of the Purchase Price to Enron for EIB and EIBGH is outside the Brazilian tax jurisdiction and essentially free of Brazilian tax risk.    However, in order to accommodate Petrobras' commercial constraints, the existing ownership structure underneath EIB and EIBGH has been restructured through the Reorganization. The Reorganization itself should be tax-free in Brazil, but the lower tier sales to Petros and TG Rio (as described above) cause exposure to Brazilian tax on the Caycos.    Enron's risk is mitigated by the fact that EIB and EIBGH would be the parties subject to Brazilian tax if either the lower tier sales or restructurings are taxable.    Since Petrobras will be the owner of EIB and EIBGH after closing, this risk essentially shifts to Petrobras.    PSA clause 10.03 specifically shifts this risk to Petrobras.</w:t>
            </w:r>
          </w:p>
          <w:p>
            <w:pPr>
              <w:pStyle w:val="Normal"/>
              <w:tabs>
                <w:tab w:val="clear" w:pos="720"/>
              </w:tabs>
              <w:bidi w:val="0"/>
              <w:ind w:end="-36"/>
              <w:jc w:val="start"/>
              <w:rPr>
                <w:rFonts w:ascii="Arial" w:hAnsi="Arial"/>
                <w:b/>
                <w:sz w:val="20"/>
              </w:rPr>
            </w:pPr>
            <w:r>
              <w:rPr>
                <w:rFonts w:ascii="Arial" w:hAnsi="Arial"/>
                <w:b/>
                <w:sz w:val="20"/>
              </w:rPr>
            </w:r>
          </w:p>
        </w:tc>
      </w:tr>
      <w:tr>
        <w:trPr>
          <w:cantSplit w:val="true"/>
        </w:trPr>
        <w:tc>
          <w:tcPr>
            <w:tcW w:w="478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rFonts w:ascii="Arial" w:hAnsi="Arial"/>
                <w:sz w:val="20"/>
              </w:rPr>
            </w:pPr>
            <w:r>
              <w:rPr/>
              <w:t xml:space="preserve">Indemnity Risk – The Indemnity Agreement. </w:t>
            </w:r>
          </w:p>
          <w:p>
            <w:pPr>
              <w:pStyle w:val="Normal"/>
              <w:tabs>
                <w:tab w:val="clear" w:pos="720"/>
              </w:tabs>
              <w:bidi w:val="0"/>
              <w:ind w:end="-36"/>
              <w:jc w:val="start"/>
              <w:rPr/>
            </w:pPr>
            <w:r>
              <w:rPr/>
              <w:t>At closing, Enron will be required to deliver to Petrobras, Petros and TG Rio an indemnity agreement against all risks associated with claims under the PA Provisions (See discussion of Rights of First Refusal above) relating to the sale of shares in CEG and CEG-Rio to Petrobras, Petros and TG Rio.</w:t>
            </w:r>
          </w:p>
        </w:tc>
        <w:tc>
          <w:tcPr>
            <w:tcW w:w="5652" w:type="dxa"/>
            <w:tcBorders>
              <w:top w:val="single" w:sz="6" w:space="0" w:color="000000"/>
              <w:start w:val="single" w:sz="6" w:space="0" w:color="000000"/>
              <w:bottom w:val="single" w:sz="6" w:space="0" w:color="000000"/>
              <w:end w:val="single" w:sz="6" w:space="0" w:color="000000"/>
            </w:tcBorders>
          </w:tcPr>
          <w:p>
            <w:pPr>
              <w:pStyle w:val="CommentText"/>
              <w:tabs>
                <w:tab w:val="clear" w:pos="720"/>
              </w:tabs>
              <w:bidi w:val="0"/>
              <w:jc w:val="start"/>
              <w:rPr>
                <w:rFonts w:ascii="Arial" w:hAnsi="Arial"/>
              </w:rPr>
            </w:pPr>
            <w:r>
              <w:rPr/>
              <w:t>By making the Offer, Enron set up certain defenses mitigating its exposure to claims under the PA Provisions (See discussion of Rights of First Refusal above).</w:t>
            </w:r>
          </w:p>
          <w:p>
            <w:pPr>
              <w:pStyle w:val="CommentText"/>
              <w:tabs>
                <w:tab w:val="clear" w:pos="720"/>
              </w:tabs>
              <w:bidi w:val="0"/>
              <w:jc w:val="start"/>
              <w:rPr>
                <w:rFonts w:ascii="Arial" w:hAnsi="Arial"/>
              </w:rPr>
            </w:pPr>
            <w:r>
              <w:rPr>
                <w:rFonts w:ascii="Arial" w:hAnsi="Arial"/>
              </w:rPr>
            </w:r>
          </w:p>
          <w:p>
            <w:pPr>
              <w:pStyle w:val="CommentText"/>
              <w:tabs>
                <w:tab w:val="clear" w:pos="720"/>
              </w:tabs>
              <w:bidi w:val="0"/>
              <w:jc w:val="start"/>
              <w:rPr>
                <w:rFonts w:ascii="Arial" w:hAnsi="Arial"/>
              </w:rPr>
            </w:pPr>
            <w:r>
              <w:rPr/>
              <w:t xml:space="preserve">Liability is capped under the Indemnity Agreement at 100% of the cash purchase price under the PSA. </w:t>
            </w:r>
          </w:p>
          <w:p>
            <w:pPr>
              <w:pStyle w:val="CommentText"/>
              <w:tabs>
                <w:tab w:val="clear" w:pos="720"/>
              </w:tabs>
              <w:bidi w:val="0"/>
              <w:jc w:val="start"/>
              <w:rPr>
                <w:rFonts w:ascii="Arial" w:hAnsi="Arial"/>
              </w:rPr>
            </w:pPr>
            <w:r>
              <w:rPr>
                <w:rFonts w:ascii="Arial" w:hAnsi="Arial"/>
              </w:rPr>
            </w:r>
          </w:p>
          <w:p>
            <w:pPr>
              <w:pStyle w:val="CommentText"/>
              <w:tabs>
                <w:tab w:val="clear" w:pos="720"/>
              </w:tabs>
              <w:bidi w:val="0"/>
              <w:jc w:val="start"/>
              <w:rPr>
                <w:rFonts w:ascii="Arial" w:hAnsi="Arial"/>
              </w:rPr>
            </w:pPr>
            <w:r>
              <w:rPr/>
              <w:t>The Indemnity Agreement contains a limitation period of two years from the closing date.    Claims brought within the two-year survival period will be subject to the Indemnity Agreement until they are resolved.</w:t>
            </w:r>
          </w:p>
          <w:p>
            <w:pPr>
              <w:pStyle w:val="Normal"/>
              <w:tabs>
                <w:tab w:val="clear" w:pos="720"/>
              </w:tabs>
              <w:bidi w:val="0"/>
              <w:ind w:end="-36"/>
              <w:jc w:val="start"/>
              <w:rPr>
                <w:rFonts w:ascii="Arial" w:hAnsi="Arial"/>
                <w:b/>
                <w:sz w:val="20"/>
              </w:rPr>
            </w:pPr>
            <w:r>
              <w:rPr>
                <w:rFonts w:ascii="Arial" w:hAnsi="Arial"/>
                <w:b/>
                <w:sz w:val="20"/>
              </w:rPr>
            </w:r>
          </w:p>
        </w:tc>
      </w:tr>
      <w:tr>
        <w:trPr>
          <w:cantSplit w:val="true"/>
        </w:trPr>
        <w:tc>
          <w:tcPr>
            <w:tcW w:w="478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rFonts w:ascii="Arial" w:hAnsi="Arial"/>
                <w:sz w:val="20"/>
              </w:rPr>
            </w:pPr>
            <w:r>
              <w:rPr/>
              <w:t xml:space="preserve">Indemnity Risk – General Indemnity Under the PSA. </w:t>
            </w:r>
          </w:p>
          <w:p>
            <w:pPr>
              <w:pStyle w:val="Normal"/>
              <w:tabs>
                <w:tab w:val="clear" w:pos="720"/>
              </w:tabs>
              <w:bidi w:val="0"/>
              <w:ind w:end="-36"/>
              <w:jc w:val="start"/>
              <w:rPr/>
            </w:pPr>
            <w:r>
              <w:rPr/>
              <w:t>Under the PSA, Enron agrees to indemnify for breaches of representations and warranties.</w:t>
            </w:r>
          </w:p>
        </w:tc>
        <w:tc>
          <w:tcPr>
            <w:tcW w:w="5652" w:type="dxa"/>
            <w:tcBorders>
              <w:top w:val="single" w:sz="6" w:space="0" w:color="000000"/>
              <w:start w:val="single" w:sz="6" w:space="0" w:color="000000"/>
              <w:bottom w:val="single" w:sz="6" w:space="0" w:color="000000"/>
              <w:end w:val="single" w:sz="6" w:space="0" w:color="000000"/>
            </w:tcBorders>
          </w:tcPr>
          <w:p>
            <w:pPr>
              <w:pStyle w:val="CommentText"/>
              <w:tabs>
                <w:tab w:val="clear" w:pos="720"/>
              </w:tabs>
              <w:bidi w:val="0"/>
              <w:jc w:val="start"/>
              <w:rPr>
                <w:rFonts w:ascii="Arial" w:hAnsi="Arial"/>
              </w:rPr>
            </w:pPr>
            <w:r>
              <w:rPr/>
              <w:t>Aggregate losses must exceed 2.0% of the purchase price, after which the Indemnified Party may recover its losses from the first dollar of losses incurred.    Indemnified losses are then capped at 50% of the purchase price.</w:t>
            </w:r>
          </w:p>
          <w:p>
            <w:pPr>
              <w:pStyle w:val="CommentText"/>
              <w:tabs>
                <w:tab w:val="clear" w:pos="720"/>
              </w:tabs>
              <w:bidi w:val="0"/>
              <w:jc w:val="start"/>
              <w:rPr>
                <w:rFonts w:ascii="Arial" w:hAnsi="Arial"/>
              </w:rPr>
            </w:pPr>
            <w:r>
              <w:rPr>
                <w:rFonts w:ascii="Arial" w:hAnsi="Arial"/>
              </w:rPr>
            </w:r>
          </w:p>
          <w:p>
            <w:pPr>
              <w:pStyle w:val="CommentText"/>
              <w:tabs>
                <w:tab w:val="clear" w:pos="720"/>
              </w:tabs>
              <w:bidi w:val="0"/>
              <w:jc w:val="start"/>
              <w:rPr>
                <w:rFonts w:ascii="Arial" w:hAnsi="Arial"/>
              </w:rPr>
            </w:pPr>
            <w:r>
              <w:rPr/>
              <w:t>The PSA contains a general survival period of two years after the closing date. Tax warranties have a survival period of six years from the closing date. For any claim brought during these survival periods, Enron’s obligations will continue until the claim is resolved.</w:t>
            </w:r>
          </w:p>
          <w:p>
            <w:pPr>
              <w:pStyle w:val="CommentText"/>
              <w:tabs>
                <w:tab w:val="clear" w:pos="720"/>
              </w:tabs>
              <w:bidi w:val="0"/>
              <w:jc w:val="start"/>
              <w:rPr>
                <w:rFonts w:ascii="Arial" w:hAnsi="Arial"/>
              </w:rPr>
            </w:pPr>
            <w:r>
              <w:rPr>
                <w:rFonts w:ascii="Arial" w:hAnsi="Arial"/>
              </w:rPr>
            </w:r>
          </w:p>
          <w:p>
            <w:pPr>
              <w:pStyle w:val="CommentText"/>
              <w:tabs>
                <w:tab w:val="clear" w:pos="720"/>
              </w:tabs>
              <w:bidi w:val="0"/>
              <w:jc w:val="start"/>
              <w:rPr>
                <w:rFonts w:ascii="Arial" w:hAnsi="Arial"/>
              </w:rPr>
            </w:pPr>
            <w:r>
              <w:rPr/>
              <w:t>Enron is not liable for environmental losses to the extent that the act or omission was disclosed in the environmental audits and studies and correspondence on environmental matters made available to Petrobras.</w:t>
            </w:r>
          </w:p>
          <w:p>
            <w:pPr>
              <w:pStyle w:val="CommentText"/>
              <w:tabs>
                <w:tab w:val="clear" w:pos="720"/>
              </w:tabs>
              <w:bidi w:val="0"/>
              <w:jc w:val="start"/>
              <w:rPr>
                <w:rFonts w:ascii="Arial" w:hAnsi="Arial"/>
              </w:rPr>
            </w:pPr>
            <w:r>
              <w:rPr>
                <w:rFonts w:ascii="Arial" w:hAnsi="Arial"/>
              </w:rPr>
            </w:r>
          </w:p>
          <w:p>
            <w:pPr>
              <w:pStyle w:val="CommentText"/>
              <w:tabs>
                <w:tab w:val="clear" w:pos="720"/>
              </w:tabs>
              <w:bidi w:val="0"/>
              <w:jc w:val="start"/>
              <w:rPr>
                <w:rFonts w:ascii="Arial" w:hAnsi="Arial"/>
              </w:rPr>
            </w:pPr>
            <w:r>
              <w:rPr/>
              <w:t>Enron is only liable for the percentage of any loss equal to the percentage of Petrobras in    the entity    bearing the losses.</w:t>
            </w:r>
          </w:p>
          <w:p>
            <w:pPr>
              <w:pStyle w:val="CommentText"/>
              <w:tabs>
                <w:tab w:val="clear" w:pos="720"/>
              </w:tabs>
              <w:bidi w:val="0"/>
              <w:jc w:val="start"/>
              <w:rPr>
                <w:rFonts w:ascii="Arial" w:hAnsi="Arial"/>
              </w:rPr>
            </w:pPr>
            <w:r>
              <w:rPr>
                <w:rFonts w:ascii="Arial" w:hAnsi="Arial"/>
              </w:rPr>
            </w:r>
          </w:p>
          <w:p>
            <w:pPr>
              <w:pStyle w:val="CommentText"/>
              <w:tabs>
                <w:tab w:val="clear" w:pos="720"/>
              </w:tabs>
              <w:bidi w:val="0"/>
              <w:jc w:val="start"/>
              <w:rPr>
                <w:rFonts w:ascii="Arial" w:hAnsi="Arial"/>
              </w:rPr>
            </w:pPr>
            <w:r>
              <w:rPr/>
              <w:t xml:space="preserve">Liabilities do not include punitive, special, exemplary, incidental or consequential damages, including damages for loss of profits, loss of revenue or losses by reason of cost of capital. </w:t>
            </w:r>
          </w:p>
          <w:p>
            <w:pPr>
              <w:pStyle w:val="CommentText"/>
              <w:tabs>
                <w:tab w:val="clear" w:pos="720"/>
              </w:tabs>
              <w:bidi w:val="0"/>
              <w:jc w:val="start"/>
              <w:rPr>
                <w:rFonts w:ascii="Arial" w:hAnsi="Arial"/>
              </w:rPr>
            </w:pPr>
            <w:r>
              <w:rPr>
                <w:rFonts w:ascii="Arial" w:hAnsi="Arial"/>
              </w:rPr>
            </w:r>
          </w:p>
          <w:p>
            <w:pPr>
              <w:pStyle w:val="CommentText"/>
              <w:tabs>
                <w:tab w:val="clear" w:pos="720"/>
              </w:tabs>
              <w:bidi w:val="0"/>
              <w:jc w:val="start"/>
              <w:rPr>
                <w:rFonts w:ascii="Arial" w:hAnsi="Arial"/>
              </w:rPr>
            </w:pPr>
            <w:r>
              <w:rPr/>
              <w:t>Liabilities for breaches of representations and warranties regarding the Operating Companies (including CEG and CEG-Rio) are qualified as being given only to the Knowledge (as defined in the PSA) of the Parent Company and any of its subsidiaries actually engaged in the management of, or any support activity for any member of, the entities being, directly or indirectly, sold.    This also excludes any matter that was within the actual knowledge of any director or officer of Petrobras at the date of the PSA.</w:t>
            </w:r>
          </w:p>
          <w:p>
            <w:pPr>
              <w:pStyle w:val="Normal"/>
              <w:tabs>
                <w:tab w:val="clear" w:pos="720"/>
              </w:tabs>
              <w:bidi w:val="0"/>
              <w:ind w:end="-36"/>
              <w:jc w:val="start"/>
              <w:rPr>
                <w:rFonts w:ascii="Arial" w:hAnsi="Arial"/>
                <w:b/>
                <w:sz w:val="20"/>
              </w:rPr>
            </w:pPr>
            <w:r>
              <w:rPr>
                <w:rFonts w:ascii="Arial" w:hAnsi="Arial"/>
                <w:b/>
                <w:sz w:val="20"/>
              </w:rPr>
            </w:r>
          </w:p>
        </w:tc>
      </w:tr>
    </w:tbl>
    <w:p>
      <w:pPr>
        <w:pStyle w:val="Normal"/>
        <w:pBdr>
          <w:top w:val="single" w:sz="8" w:space="1" w:color="000000"/>
        </w:pBdr>
        <w:bidi w:val="0"/>
        <w:ind w:end="-36"/>
        <w:jc w:val="start"/>
        <w:rPr>
          <w:rFonts w:ascii="Arial" w:hAnsi="Arial"/>
          <w:b/>
          <w:sz w:val="20"/>
        </w:rPr>
      </w:pPr>
      <w:r>
        <w:rPr>
          <w:rFonts w:ascii="Arial" w:hAnsi="Arial"/>
          <w:b/>
          <w:sz w:val="20"/>
        </w:rPr>
      </w:r>
    </w:p>
    <w:tbl>
      <w:tblPr>
        <w:tblW w:w="10440" w:type="dxa"/>
        <w:jc w:val="start"/>
        <w:tblInd w:w="18" w:type="dxa"/>
        <w:tblLayout w:type="fixed"/>
        <w:tblCellMar>
          <w:top w:w="0" w:type="dxa"/>
          <w:start w:w="108" w:type="dxa"/>
          <w:bottom w:w="0" w:type="dxa"/>
          <w:end w:w="108" w:type="dxa"/>
        </w:tblCellMar>
      </w:tblPr>
      <w:tblGrid>
        <w:gridCol w:w="10440"/>
      </w:tblGrid>
      <w:tr>
        <w:trPr>
          <w:cantSplit w:val="true"/>
        </w:trPr>
        <w:tc>
          <w:tcPr>
            <w:tcW w:w="10440" w:type="dxa"/>
            <w:tcBorders/>
          </w:tcPr>
          <w:p>
            <w:pPr>
              <w:pStyle w:val="Normal"/>
              <w:tabs>
                <w:tab w:val="clear" w:pos="720"/>
              </w:tabs>
              <w:bidi w:val="0"/>
              <w:jc w:val="center"/>
              <w:rPr>
                <w:rFonts w:ascii="Arial" w:hAnsi="Arial"/>
                <w:sz w:val="20"/>
              </w:rPr>
            </w:pPr>
            <w:r>
              <w:rPr>
                <w:rFonts w:ascii="Arial" w:hAnsi="Arial"/>
                <w:sz w:val="20"/>
              </w:rPr>
            </w:r>
          </w:p>
        </w:tc>
      </w:tr>
      <w:tr>
        <w:trPr>
          <w:trHeight w:val="2322" w:hRule="atLeast"/>
          <w:cantSplit w:val="true"/>
        </w:trPr>
        <w:tc>
          <w:tcPr>
            <w:tcW w:w="10440" w:type="dxa"/>
            <w:tcBorders/>
          </w:tcPr>
          <w:p>
            <w:pPr>
              <w:pStyle w:val="Normal"/>
              <w:pBdr>
                <w:top w:val="single" w:sz="8" w:space="1" w:color="000000"/>
              </w:pBdr>
              <w:tabs>
                <w:tab w:val="clear" w:pos="720"/>
              </w:tabs>
              <w:bidi w:val="0"/>
              <w:ind w:end="-36"/>
              <w:jc w:val="start"/>
              <w:rPr>
                <w:rFonts w:ascii="Arial" w:hAnsi="Arial"/>
                <w:b/>
                <w:sz w:val="20"/>
              </w:rPr>
            </w:pPr>
            <w:r>
              <w:rPr/>
              <w:t>MILESTONES:</w:t>
            </w:r>
          </w:p>
          <w:p>
            <w:pPr>
              <w:pStyle w:val="Normal"/>
              <w:pBdr>
                <w:top w:val="single" w:sz="8" w:space="1" w:color="000000"/>
              </w:pBdr>
              <w:tabs>
                <w:tab w:val="clear" w:pos="720"/>
              </w:tabs>
              <w:bidi w:val="0"/>
              <w:ind w:end="-36"/>
              <w:jc w:val="start"/>
              <w:rPr>
                <w:rFonts w:ascii="Arial" w:hAnsi="Arial"/>
                <w:b/>
                <w:sz w:val="20"/>
              </w:rPr>
            </w:pPr>
            <w:r>
              <w:rPr>
                <w:rFonts w:ascii="Arial" w:hAnsi="Arial"/>
                <w:b/>
                <w:sz w:val="20"/>
              </w:rPr>
            </w:r>
          </w:p>
          <w:p>
            <w:pPr>
              <w:pStyle w:val="BlockText"/>
              <w:pBdr>
                <w:top w:val="single" w:sz="8" w:space="1" w:color="000000"/>
              </w:pBdr>
              <w:tabs>
                <w:tab w:val="clear" w:pos="720"/>
              </w:tabs>
              <w:bidi w:val="0"/>
              <w:jc w:val="start"/>
              <w:rPr>
                <w:rFonts w:ascii="Arial" w:hAnsi="Arial"/>
              </w:rPr>
            </w:pPr>
            <w:r>
              <w:rPr/>
              <w:t>1.    ASEP Approval                                                                                                                                                    November 22, 2001</w:t>
            </w:r>
          </w:p>
          <w:p>
            <w:pPr>
              <w:pStyle w:val="Header"/>
              <w:tabs>
                <w:tab w:val="clear" w:pos="4320"/>
                <w:tab w:val="clear" w:pos="8640"/>
              </w:tabs>
              <w:bidi w:val="0"/>
              <w:jc w:val="start"/>
              <w:rPr>
                <w:rFonts w:ascii="Arial" w:hAnsi="Arial"/>
              </w:rPr>
            </w:pPr>
            <w:r>
              <w:rPr>
                <w:rFonts w:ascii="Arial" w:hAnsi="Arial"/>
              </w:rPr>
            </w:r>
          </w:p>
          <w:p>
            <w:pPr>
              <w:pStyle w:val="Normal"/>
              <w:pBdr>
                <w:top w:val="single" w:sz="8" w:space="1" w:color="000000"/>
              </w:pBdr>
              <w:tabs>
                <w:tab w:val="clear" w:pos="720"/>
              </w:tabs>
              <w:bidi w:val="0"/>
              <w:jc w:val="start"/>
              <w:rPr>
                <w:rFonts w:ascii="Arial" w:hAnsi="Arial"/>
                <w:b/>
                <w:sz w:val="20"/>
              </w:rPr>
            </w:pPr>
            <w:r>
              <w:rPr/>
              <w:t xml:space="preserve">OTHER RAC COMMENTS: </w:t>
            </w:r>
          </w:p>
          <w:p>
            <w:pPr>
              <w:pStyle w:val="Normal"/>
              <w:tabs>
                <w:tab w:val="clear" w:pos="720"/>
              </w:tabs>
              <w:bidi w:val="0"/>
              <w:jc w:val="start"/>
              <w:rPr>
                <w:rFonts w:ascii="Arial" w:hAnsi="Arial"/>
                <w:b/>
                <w:i/>
                <w:i/>
                <w:sz w:val="20"/>
              </w:rPr>
            </w:pPr>
            <w:r>
              <w:rPr>
                <w:rFonts w:ascii="Arial" w:hAnsi="Arial"/>
                <w:b/>
                <w:i/>
                <w:sz w:val="20"/>
              </w:rPr>
            </w:r>
          </w:p>
          <w:p>
            <w:pPr>
              <w:pStyle w:val="Normal"/>
              <w:tabs>
                <w:tab w:val="clear" w:pos="720"/>
              </w:tabs>
              <w:bidi w:val="0"/>
              <w:jc w:val="start"/>
              <w:rPr/>
            </w:pPr>
            <w:r>
              <w:rPr/>
              <w:t xml:space="preserve">RAC recommends this divestiture on the basis of the attractive consideration to be received, at or above the high end of the comparable company range; the manageable risks inherent in this divestiture transaction; and its consistency with Enron’s strategic decision to exit the gas LDC business in Brazil. </w:t>
            </w:r>
          </w:p>
        </w:tc>
      </w:tr>
    </w:tbl>
    <w:p>
      <w:pPr>
        <w:pStyle w:val="Normal"/>
        <w:bidi w:val="0"/>
        <w:jc w:val="start"/>
        <w:rPr>
          <w:rFonts w:ascii="Arial" w:hAnsi="Arial"/>
          <w:sz w:val="20"/>
        </w:rPr>
      </w:pPr>
      <w:r>
        <w:br w:type="page"/>
      </w:r>
      <w:r>
        <w:rPr>
          <w:rFonts w:ascii="Arial" w:hAnsi="Arial"/>
          <w:sz w:val="20"/>
        </w:rPr>
      </w:r>
    </w:p>
    <w:tbl>
      <w:tblPr>
        <w:tblW w:w="10440" w:type="dxa"/>
        <w:jc w:val="start"/>
        <w:tblInd w:w="18" w:type="dxa"/>
        <w:tblLayout w:type="fixed"/>
        <w:tblCellMar>
          <w:top w:w="0" w:type="dxa"/>
          <w:start w:w="108" w:type="dxa"/>
          <w:bottom w:w="0" w:type="dxa"/>
          <w:end w:w="108" w:type="dxa"/>
        </w:tblCellMar>
      </w:tblPr>
      <w:tblGrid>
        <w:gridCol w:w="10440"/>
      </w:tblGrid>
      <w:tr>
        <w:trPr>
          <w:trHeight w:val="2169" w:hRule="atLeast"/>
          <w:cantSplit w:val="true"/>
        </w:trPr>
        <w:tc>
          <w:tcPr>
            <w:tcW w:w="10440" w:type="dxa"/>
            <w:tcBorders/>
          </w:tcPr>
          <w:p>
            <w:pPr>
              <w:pStyle w:val="Normal"/>
              <w:tabs>
                <w:tab w:val="clear" w:pos="720"/>
              </w:tabs>
              <w:bidi w:val="0"/>
              <w:jc w:val="start"/>
              <w:rPr>
                <w:rFonts w:ascii="Arial" w:hAnsi="Arial"/>
                <w:sz w:val="20"/>
              </w:rPr>
            </w:pPr>
            <w:r>
              <w:rPr>
                <w:rFonts w:ascii="Arial" w:hAnsi="Arial"/>
                <w:sz w:val="20"/>
              </w:rPr>
            </w:r>
          </w:p>
          <w:p>
            <w:pPr>
              <w:pStyle w:val="Heading1"/>
              <w:tabs>
                <w:tab w:val="clear" w:pos="720"/>
              </w:tabs>
              <w:bidi w:val="0"/>
              <w:jc w:val="start"/>
              <w:rPr>
                <w:rFonts w:ascii="Arial" w:hAnsi="Arial"/>
                <w:i/>
                <w:i/>
              </w:rPr>
            </w:pPr>
            <w:r>
              <w:rPr/>
              <w:t>APPROVALS</w:t>
            </w:r>
          </w:p>
          <w:p>
            <w:pPr>
              <w:pStyle w:val="Normal"/>
              <w:keepNext w:val="true"/>
              <w:tabs>
                <w:tab w:val="clear" w:pos="720"/>
              </w:tabs>
              <w:bidi w:val="0"/>
              <w:jc w:val="start"/>
              <w:rPr>
                <w:rFonts w:ascii="Arial" w:hAnsi="Arial"/>
                <w:b/>
                <w:sz w:val="20"/>
              </w:rPr>
            </w:pPr>
            <w:r>
              <w:rPr>
                <w:rFonts w:ascii="Arial" w:hAnsi="Arial"/>
                <w:b/>
                <w:sz w:val="20"/>
              </w:rPr>
            </w:r>
          </w:p>
          <w:p>
            <w:pPr>
              <w:pStyle w:val="Normal"/>
              <w:keepNext w:val="true"/>
              <w:tabs>
                <w:tab w:val="clear" w:pos="720"/>
              </w:tabs>
              <w:bidi w:val="0"/>
              <w:jc w:val="center"/>
              <w:rPr>
                <w:rFonts w:ascii="Arial" w:hAnsi="Arial"/>
                <w:b/>
                <w:sz w:val="20"/>
              </w:rPr>
            </w:pPr>
            <w:r>
              <w:rPr/>
              <w:t>Name</w:t>
            </w:r>
          </w:p>
          <w:p>
            <w:pPr>
              <w:pStyle w:val="Normal"/>
              <w:keepNext w:val="true"/>
              <w:tabs>
                <w:tab w:val="clear" w:pos="720"/>
              </w:tabs>
              <w:bidi w:val="0"/>
              <w:jc w:val="center"/>
              <w:rPr>
                <w:rFonts w:ascii="Arial" w:hAnsi="Arial"/>
                <w:b/>
                <w:sz w:val="20"/>
              </w:rPr>
            </w:pPr>
            <w:r>
              <w:rPr>
                <w:rFonts w:ascii="Arial" w:hAnsi="Arial"/>
                <w:b/>
                <w:sz w:val="20"/>
              </w:rPr>
            </w:r>
          </w:p>
          <w:p>
            <w:pPr>
              <w:pStyle w:val="Normal"/>
              <w:keepNext w:val="true"/>
              <w:tabs>
                <w:tab w:val="clear" w:pos="720"/>
              </w:tabs>
              <w:bidi w:val="0"/>
              <w:jc w:val="center"/>
              <w:rPr>
                <w:rFonts w:ascii="Arial" w:hAnsi="Arial"/>
                <w:b/>
                <w:sz w:val="20"/>
              </w:rPr>
            </w:pPr>
            <w:r>
              <w:rPr/>
              <w:t>Signature</w:t>
            </w:r>
          </w:p>
          <w:p>
            <w:pPr>
              <w:pStyle w:val="Normal"/>
              <w:keepNext w:val="true"/>
              <w:tabs>
                <w:tab w:val="clear" w:pos="720"/>
              </w:tabs>
              <w:bidi w:val="0"/>
              <w:jc w:val="center"/>
              <w:rPr>
                <w:rFonts w:ascii="Arial" w:hAnsi="Arial"/>
                <w:b/>
                <w:sz w:val="20"/>
              </w:rPr>
            </w:pPr>
            <w:r>
              <w:rPr>
                <w:rFonts w:ascii="Arial" w:hAnsi="Arial"/>
                <w:b/>
                <w:sz w:val="20"/>
              </w:rPr>
            </w:r>
          </w:p>
          <w:p>
            <w:pPr>
              <w:pStyle w:val="Normal"/>
              <w:keepNext w:val="true"/>
              <w:tabs>
                <w:tab w:val="clear" w:pos="720"/>
              </w:tabs>
              <w:bidi w:val="0"/>
              <w:jc w:val="center"/>
              <w:rPr>
                <w:rFonts w:ascii="Arial" w:hAnsi="Arial"/>
                <w:b/>
                <w:sz w:val="20"/>
              </w:rPr>
            </w:pPr>
            <w:r>
              <w:rPr/>
              <w:t>Date</w:t>
            </w:r>
          </w:p>
          <w:p>
            <w:pPr>
              <w:pStyle w:val="Normal"/>
              <w:tabs>
                <w:tab w:val="clear" w:pos="720"/>
              </w:tabs>
              <w:bidi w:val="0"/>
              <w:jc w:val="start"/>
              <w:rPr>
                <w:rFonts w:ascii="Arial" w:hAnsi="Arial"/>
                <w:b/>
                <w:sz w:val="20"/>
              </w:rPr>
            </w:pPr>
            <w:r>
              <w:rPr>
                <w:rFonts w:ascii="Arial" w:hAnsi="Arial"/>
                <w:b/>
                <w:sz w:val="20"/>
              </w:rPr>
            </w:r>
          </w:p>
          <w:p>
            <w:pPr>
              <w:pStyle w:val="Normal"/>
              <w:tabs>
                <w:tab w:val="clear" w:pos="720"/>
              </w:tabs>
              <w:bidi w:val="0"/>
              <w:spacing w:before="120" w:after="0"/>
              <w:jc w:val="start"/>
              <w:rPr>
                <w:rFonts w:ascii="Arial" w:hAnsi="Arial"/>
                <w:sz w:val="20"/>
              </w:rPr>
            </w:pPr>
            <w:r>
              <w:rPr/>
              <w:t>Corporate Development</w:t>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spacing w:before="120" w:after="0"/>
              <w:jc w:val="start"/>
              <w:rPr>
                <w:rFonts w:ascii="Arial" w:hAnsi="Arial"/>
                <w:sz w:val="20"/>
              </w:rPr>
            </w:pPr>
            <w:r>
              <w:rPr/>
              <w:t>Frank Stabler/Jeff Donahue</w:t>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jc w:val="start"/>
              <w:rPr>
                <w:rFonts w:ascii="Arial" w:hAnsi="Arial"/>
                <w:sz w:val="20"/>
              </w:rPr>
            </w:pPr>
            <w:r>
              <w:rPr>
                <w:rFonts w:ascii="Arial" w:hAnsi="Arial"/>
                <w:sz w:val="20"/>
              </w:rPr>
            </w:r>
          </w:p>
          <w:p>
            <w:pPr>
              <w:pStyle w:val="Normal"/>
              <w:tabs>
                <w:tab w:val="clear" w:pos="720"/>
              </w:tabs>
              <w:bidi w:val="0"/>
              <w:spacing w:before="120" w:after="0"/>
              <w:jc w:val="start"/>
              <w:rPr>
                <w:rFonts w:ascii="Arial" w:hAnsi="Arial"/>
                <w:sz w:val="20"/>
              </w:rPr>
            </w:pPr>
            <w:r>
              <w:rPr/>
              <w:t>Tax</w:t>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spacing w:before="120" w:after="0"/>
              <w:jc w:val="start"/>
              <w:rPr>
                <w:rFonts w:ascii="Arial" w:hAnsi="Arial"/>
                <w:sz w:val="20"/>
              </w:rPr>
            </w:pPr>
            <w:r>
              <w:rPr/>
              <w:t>Cullen Duke</w:t>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jc w:val="start"/>
              <w:rPr>
                <w:rFonts w:ascii="Arial" w:hAnsi="Arial"/>
                <w:sz w:val="20"/>
              </w:rPr>
            </w:pPr>
            <w:r>
              <w:rPr>
                <w:rFonts w:ascii="Arial" w:hAnsi="Arial"/>
                <w:sz w:val="20"/>
              </w:rPr>
            </w:r>
          </w:p>
          <w:p>
            <w:pPr>
              <w:pStyle w:val="Normal"/>
              <w:tabs>
                <w:tab w:val="clear" w:pos="720"/>
              </w:tabs>
              <w:bidi w:val="0"/>
              <w:spacing w:before="120" w:after="0"/>
              <w:jc w:val="start"/>
              <w:rPr>
                <w:rFonts w:ascii="Arial" w:hAnsi="Arial"/>
                <w:sz w:val="20"/>
              </w:rPr>
            </w:pPr>
            <w:r>
              <w:rPr/>
              <w:t>Legal</w:t>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spacing w:before="120" w:after="0"/>
              <w:jc w:val="start"/>
              <w:rPr>
                <w:rFonts w:ascii="Arial" w:hAnsi="Arial"/>
                <w:sz w:val="20"/>
              </w:rPr>
            </w:pPr>
            <w:r>
              <w:rPr/>
              <w:t>Randy Young/David Koogler Koogler/Jordan Mintz</w:t>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jc w:val="start"/>
              <w:rPr>
                <w:rFonts w:ascii="Arial" w:hAnsi="Arial"/>
                <w:sz w:val="20"/>
              </w:rPr>
            </w:pPr>
            <w:r>
              <w:rPr>
                <w:rFonts w:ascii="Arial" w:hAnsi="Arial"/>
                <w:sz w:val="20"/>
              </w:rPr>
            </w:r>
          </w:p>
          <w:p>
            <w:pPr>
              <w:pStyle w:val="Normal"/>
              <w:tabs>
                <w:tab w:val="clear" w:pos="720"/>
              </w:tabs>
              <w:bidi w:val="0"/>
              <w:spacing w:before="120" w:after="0"/>
              <w:jc w:val="start"/>
              <w:rPr>
                <w:rFonts w:ascii="Arial" w:hAnsi="Arial"/>
                <w:sz w:val="20"/>
              </w:rPr>
            </w:pPr>
            <w:r>
              <w:rPr/>
              <w:t>RAC Management</w:t>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spacing w:before="120" w:after="0"/>
              <w:jc w:val="start"/>
              <w:rPr>
                <w:rFonts w:ascii="Arial" w:hAnsi="Arial"/>
                <w:sz w:val="20"/>
              </w:rPr>
            </w:pPr>
            <w:r>
              <w:rPr/>
              <w:t>Rick Buy/Dave Gorte</w:t>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jc w:val="start"/>
              <w:rPr>
                <w:rFonts w:ascii="Arial" w:hAnsi="Arial"/>
                <w:sz w:val="20"/>
              </w:rPr>
            </w:pPr>
            <w:r>
              <w:rPr>
                <w:rFonts w:ascii="Arial" w:hAnsi="Arial"/>
                <w:sz w:val="20"/>
              </w:rPr>
            </w:r>
          </w:p>
          <w:p>
            <w:pPr>
              <w:pStyle w:val="Normal"/>
              <w:tabs>
                <w:tab w:val="clear" w:pos="720"/>
              </w:tabs>
              <w:bidi w:val="0"/>
              <w:spacing w:before="120" w:after="0"/>
              <w:jc w:val="start"/>
              <w:rPr>
                <w:rFonts w:ascii="Arial" w:hAnsi="Arial"/>
                <w:sz w:val="20"/>
              </w:rPr>
            </w:pPr>
            <w:r>
              <w:rPr/>
              <w:t>Enron Global Finance</w:t>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spacing w:before="120" w:after="0"/>
              <w:jc w:val="start"/>
              <w:rPr>
                <w:rFonts w:ascii="Arial" w:hAnsi="Arial"/>
                <w:sz w:val="20"/>
              </w:rPr>
            </w:pPr>
            <w:r>
              <w:rPr/>
              <w:t>Jeff McMahon/Ray Bowen</w:t>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jc w:val="start"/>
              <w:rPr>
                <w:rFonts w:ascii="Arial" w:hAnsi="Arial"/>
                <w:sz w:val="20"/>
              </w:rPr>
            </w:pPr>
            <w:r>
              <w:rPr>
                <w:rFonts w:ascii="Arial" w:hAnsi="Arial"/>
                <w:sz w:val="20"/>
              </w:rPr>
            </w:r>
          </w:p>
          <w:p>
            <w:pPr>
              <w:pStyle w:val="Normal"/>
              <w:tabs>
                <w:tab w:val="clear" w:pos="720"/>
              </w:tabs>
              <w:bidi w:val="0"/>
              <w:spacing w:before="120" w:after="0"/>
              <w:jc w:val="start"/>
              <w:rPr>
                <w:rFonts w:ascii="Arial" w:hAnsi="Arial"/>
                <w:sz w:val="20"/>
              </w:rPr>
            </w:pPr>
            <w:r>
              <w:rPr/>
              <w:t>ENE Office of the Chairman</w:t>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spacing w:before="120" w:after="0"/>
              <w:jc w:val="start"/>
              <w:rPr>
                <w:rFonts w:ascii="Arial" w:hAnsi="Arial"/>
                <w:sz w:val="20"/>
              </w:rPr>
            </w:pPr>
            <w:r>
              <w:rPr/>
              <w:t>Ken Lay/Greg Whalley/Mark Frevert</w:t>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jc w:val="start"/>
              <w:rPr>
                <w:rFonts w:ascii="Arial" w:hAnsi="Arial"/>
                <w:sz w:val="20"/>
              </w:rPr>
            </w:pPr>
            <w:r>
              <w:rPr>
                <w:rFonts w:ascii="Arial" w:hAnsi="Arial"/>
                <w:sz w:val="20"/>
              </w:rPr>
            </w:r>
          </w:p>
          <w:p>
            <w:pPr>
              <w:pStyle w:val="Normal"/>
              <w:tabs>
                <w:tab w:val="clear" w:pos="720"/>
              </w:tabs>
              <w:bidi w:val="0"/>
              <w:jc w:val="start"/>
              <w:rPr>
                <w:rFonts w:ascii="Arial" w:hAnsi="Arial"/>
                <w:sz w:val="20"/>
              </w:rPr>
            </w:pPr>
            <w:r>
              <w:rPr>
                <w:rFonts w:ascii="Arial" w:hAnsi="Arial"/>
                <w:sz w:val="20"/>
              </w:rPr>
            </w:r>
          </w:p>
        </w:tc>
      </w:tr>
    </w:tbl>
    <w:p>
      <w:pPr>
        <w:pStyle w:val="Normal"/>
        <w:bidi w:val="0"/>
        <w:jc w:val="start"/>
        <w:rPr>
          <w:rFonts w:ascii="Arial" w:hAnsi="Arial"/>
          <w:sz w:val="20"/>
        </w:rPr>
      </w:pPr>
      <w:r>
        <w:rPr>
          <w:rFonts w:ascii="Arial" w:hAnsi="Arial"/>
          <w:sz w:val="20"/>
        </w:rPr>
      </w:r>
    </w:p>
    <w:p>
      <w:pPr>
        <w:pStyle w:val="Normal"/>
        <w:bidi w:val="0"/>
        <w:jc w:val="start"/>
        <w:rPr>
          <w:rFonts w:ascii="Arial" w:hAnsi="Arial"/>
          <w:sz w:val="20"/>
        </w:rPr>
      </w:pPr>
      <w:r>
        <w:rPr>
          <w:rFonts w:ascii="Arial" w:hAnsi="Arial"/>
          <w:sz w:val="20"/>
        </w:rPr>
      </w:r>
    </w:p>
    <w:p>
      <w:pPr>
        <w:pStyle w:val="Normal"/>
        <w:bidi w:val="0"/>
        <w:jc w:val="start"/>
        <w:rPr>
          <w:rFonts w:ascii="Arial" w:hAnsi="Arial"/>
          <w:sz w:val="20"/>
        </w:rPr>
      </w:pPr>
      <w:r>
        <w:rPr>
          <w:rFonts w:ascii="Arial" w:hAnsi="Arial"/>
          <w:sz w:val="20"/>
        </w:rPr>
      </w:r>
    </w:p>
    <w:p>
      <w:pPr>
        <w:pStyle w:val="Header"/>
        <w:tabs>
          <w:tab w:val="clear" w:pos="4320"/>
          <w:tab w:val="clear" w:pos="8640"/>
        </w:tabs>
        <w:bidi w:val="0"/>
        <w:jc w:val="start"/>
        <w:rPr>
          <w:rFonts w:ascii="Arial" w:hAnsi="Arial"/>
        </w:rPr>
      </w:pPr>
      <w:r>
        <w:rPr>
          <w:rFonts w:ascii="Arial" w:hAnsi="Arial"/>
        </w:rPr>
      </w:r>
    </w:p>
    <w:p>
      <w:pPr>
        <w:pStyle w:val="Header"/>
        <w:tabs>
          <w:tab w:val="clear" w:pos="4320"/>
          <w:tab w:val="clear" w:pos="8640"/>
        </w:tabs>
        <w:bidi w:val="0"/>
        <w:jc w:val="start"/>
        <w:rPr>
          <w:rFonts w:ascii="Arial" w:hAnsi="Arial"/>
        </w:rPr>
      </w:pPr>
      <w:r>
        <w:rPr>
          <w:rFonts w:ascii="Arial" w:hAnsi="Arial"/>
        </w:rPr>
      </w:r>
    </w:p>
    <w:p>
      <w:pPr>
        <w:pStyle w:val="Header"/>
        <w:tabs>
          <w:tab w:val="clear" w:pos="4320"/>
          <w:tab w:val="clear" w:pos="8640"/>
        </w:tabs>
        <w:bidi w:val="0"/>
        <w:jc w:val="start"/>
        <w:rPr>
          <w:rFonts w:ascii="Arial" w:hAnsi="Arial"/>
        </w:rPr>
      </w:pPr>
      <w:r>
        <w:rPr/>
        <w:t xml:space="preserve">This redlined draft, generated by CompareRite (TM) - The Instant Redliner, shows the differences between - </w:t>
      </w:r>
    </w:p>
    <w:p>
      <w:pPr>
        <w:pStyle w:val="Header"/>
        <w:tabs>
          <w:tab w:val="clear" w:pos="4320"/>
          <w:tab w:val="clear" w:pos="8640"/>
        </w:tabs>
        <w:bidi w:val="0"/>
        <w:jc w:val="start"/>
        <w:rPr>
          <w:rFonts w:ascii="Arial" w:hAnsi="Arial"/>
        </w:rPr>
      </w:pPr>
      <w:r>
        <w:rPr/>
        <w:t>original document      : O:\CORPDEV\GLOBAL CORPDEV\LEGAL\DAVID KOOGLER\CEG\CEGDASH 11-21-01 V3.DOC</w:t>
      </w:r>
    </w:p>
    <w:p>
      <w:pPr>
        <w:pStyle w:val="Header"/>
        <w:tabs>
          <w:tab w:val="clear" w:pos="4320"/>
          <w:tab w:val="clear" w:pos="8640"/>
        </w:tabs>
        <w:bidi w:val="0"/>
        <w:jc w:val="start"/>
        <w:rPr>
          <w:rFonts w:ascii="Arial" w:hAnsi="Arial"/>
        </w:rPr>
      </w:pPr>
      <w:r>
        <w:rPr/>
        <w:t>and revised document: O:\CORPDEV\GLOBAL CORPDEV\LEGAL\DAVID KOOGLER\CEG\CEGDASH 11-26-01 V1.DOC</w:t>
      </w:r>
    </w:p>
    <w:p>
      <w:pPr>
        <w:pStyle w:val="Header"/>
        <w:tabs>
          <w:tab w:val="clear" w:pos="4320"/>
          <w:tab w:val="clear" w:pos="8640"/>
        </w:tabs>
        <w:bidi w:val="0"/>
        <w:jc w:val="start"/>
        <w:rPr>
          <w:rFonts w:ascii="Arial" w:hAnsi="Arial"/>
        </w:rPr>
      </w:pPr>
      <w:r>
        <w:rPr>
          <w:rFonts w:ascii="Arial" w:hAnsi="Arial"/>
        </w:rPr>
      </w:r>
    </w:p>
    <w:p>
      <w:pPr>
        <w:pStyle w:val="Header"/>
        <w:tabs>
          <w:tab w:val="clear" w:pos="4320"/>
          <w:tab w:val="clear" w:pos="8640"/>
        </w:tabs>
        <w:bidi w:val="0"/>
        <w:jc w:val="start"/>
        <w:rPr>
          <w:rFonts w:ascii="Arial" w:hAnsi="Arial"/>
        </w:rPr>
      </w:pPr>
      <w:r>
        <w:rPr/>
        <w:t>CompareRite found      10 change(s) in the text</w:t>
      </w:r>
    </w:p>
    <w:p>
      <w:pPr>
        <w:pStyle w:val="Header"/>
        <w:tabs>
          <w:tab w:val="clear" w:pos="4320"/>
          <w:tab w:val="clear" w:pos="8640"/>
        </w:tabs>
        <w:bidi w:val="0"/>
        <w:jc w:val="start"/>
        <w:rPr>
          <w:rFonts w:ascii="Arial" w:hAnsi="Arial"/>
        </w:rPr>
      </w:pPr>
      <w:r>
        <w:rPr>
          <w:rFonts w:ascii="Arial" w:hAnsi="Arial"/>
        </w:rPr>
      </w:r>
    </w:p>
    <w:p>
      <w:pPr>
        <w:pStyle w:val="Header"/>
        <w:tabs>
          <w:tab w:val="clear" w:pos="4320"/>
          <w:tab w:val="clear" w:pos="8640"/>
        </w:tabs>
        <w:bidi w:val="0"/>
        <w:jc w:val="start"/>
        <w:rPr>
          <w:rFonts w:ascii="Arial" w:hAnsi="Arial"/>
        </w:rPr>
      </w:pPr>
      <w:r>
        <w:rPr/>
        <w:t xml:space="preserve">Deletions appear as Overstrike text </w:t>
      </w:r>
    </w:p>
    <w:p>
      <w:pPr>
        <w:pStyle w:val="Header"/>
        <w:tabs>
          <w:tab w:val="clear" w:pos="4320"/>
          <w:tab w:val="clear" w:pos="8640"/>
        </w:tabs>
        <w:bidi w:val="0"/>
        <w:jc w:val="start"/>
        <w:rPr>
          <w:rFonts w:ascii="Arial" w:hAnsi="Arial"/>
        </w:rPr>
      </w:pPr>
      <w:r>
        <w:rPr/>
        <w:t xml:space="preserve">Additions appear as Double Underline text </w:t>
      </w:r>
    </w:p>
    <w:sectPr>
      <w:type w:val="continuous"/>
      <w:pgSz w:w="12240" w:h="15840"/>
      <w:pgMar w:left="1008" w:right="1008" w:gutter="0" w:header="720" w:top="777" w:footer="720" w:bottom="777"/>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Arial" w:hAnsi="Arial"/>
        <w:sz w:val="16"/>
      </w:rPr>
    </w:pPr>
    <w:r>
      <w:rPr>
        <w:rFonts w:ascii="Arial" w:hAnsi="Arial"/>
        <w:sz w:val="12"/>
      </w:rPr>
      <w:t>DASH template V3.7</w:t>
    </w:r>
    <w:r>
      <w:rPr>
        <w:rFonts w:ascii="Arial" w:hAnsi="Arial"/>
        <w:sz w:val="16"/>
      </w:rPr>
      <w:tab/>
      <w:tab/>
      <w:t xml:space="preserve">Page </w:t>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Pr>
        <w:rStyle w:val="PageNumber"/>
        <w:rFonts w:ascii="Arial" w:hAnsi="Arial"/>
      </w:rPr>
      <w:t>13</w:t>
    </w:r>
    <w:r>
      <w:rPr>
        <w:rStyle w:val="PageNumber"/>
        <w:rFonts w:ascii="Arial" w:hAnsi="Arial"/>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40" w:type="dxa"/>
      <w:jc w:val="start"/>
      <w:tblInd w:w="0" w:type="dxa"/>
      <w:tblLayout w:type="fixed"/>
      <w:tblCellMar>
        <w:top w:w="0" w:type="dxa"/>
        <w:start w:w="108" w:type="dxa"/>
        <w:bottom w:w="0" w:type="dxa"/>
        <w:end w:w="108" w:type="dxa"/>
      </w:tblCellMar>
    </w:tblPr>
    <w:tblGrid>
      <w:gridCol w:w="4068"/>
      <w:gridCol w:w="6371"/>
    </w:tblGrid>
    <w:tr>
      <w:trPr/>
      <w:tc>
        <w:tcPr>
          <w:tcW w:w="4068" w:type="dxa"/>
          <w:tcBorders/>
        </w:tcPr>
        <w:p>
          <w:pPr>
            <w:pStyle w:val="Header"/>
            <w:tabs>
              <w:tab w:val="clear" w:pos="4320"/>
              <w:tab w:val="clear" w:pos="8640"/>
              <w:tab w:val="right" w:pos="7920" w:leader="none"/>
            </w:tabs>
            <w:bidi w:val="0"/>
            <w:jc w:val="start"/>
            <w:rPr/>
          </w:pPr>
          <w:r>
            <w:rPr>
              <w:rFonts w:ascii="Arial" w:hAnsi="Arial"/>
              <w:b/>
              <w:sz w:val="16"/>
            </w:rPr>
            <w:t>RAC Deal Approval Sheet</w:t>
            <w:tab/>
            <w:t xml:space="preserve">                                      </w:t>
          </w:r>
        </w:p>
      </w:tc>
      <w:tc>
        <w:tcPr>
          <w:tcW w:w="6371" w:type="dxa"/>
          <w:tcBorders/>
        </w:tcPr>
        <w:p>
          <w:pPr>
            <w:pStyle w:val="Header"/>
            <w:bidi w:val="0"/>
            <w:jc w:val="end"/>
            <w:rPr/>
          </w:pPr>
          <w:r>
            <w:rPr>
              <w:rFonts w:ascii="Arial" w:hAnsi="Arial"/>
              <w:b/>
              <w:sz w:val="16"/>
            </w:rPr>
            <w:t xml:space="preserve">Deal Name: </w:t>
          </w:r>
          <w:r>
            <w:rPr>
              <w:rFonts w:ascii="Arial" w:hAnsi="Arial"/>
              <w:b/>
              <w:sz w:val="16"/>
            </w:rPr>
            <w:fldChar w:fldCharType="begin"/>
          </w:r>
          <w:r>
            <w:rPr>
              <w:sz w:val="16"/>
              <w:b/>
              <w:rFonts w:ascii="Arial" w:hAnsi="Arial"/>
            </w:rPr>
            <w:instrText xml:space="preserve"> FILENAME </w:instrText>
          </w:r>
          <w:r>
            <w:rPr>
              <w:sz w:val="16"/>
              <w:b/>
              <w:rFonts w:ascii="Arial" w:hAnsi="Arial"/>
            </w:rPr>
            <w:fldChar w:fldCharType="separate"/>
          </w:r>
          <w:r>
            <w:rPr>
              <w:sz w:val="16"/>
              <w:b/>
              <w:rFonts w:ascii="Arial" w:hAnsi="Arial"/>
            </w:rPr>
            <w:t>CEGDASH_11_21_01_V3_VS_11_26_01_V1.DOC</w:t>
          </w:r>
          <w:r>
            <w:rPr>
              <w:sz w:val="16"/>
              <w:b/>
              <w:rFonts w:ascii="Arial" w:hAnsi="Arial"/>
            </w:rPr>
            <w:fldChar w:fldCharType="end"/>
          </w:r>
        </w:p>
      </w:tc>
    </w:tr>
  </w:tbl>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sz w:val="24"/>
      </w:rPr>
    </w:pPr>
    <w:r>
      <w:rPr>
        <w:sz w:val="24"/>
      </w:rPr>
      <w:t>___________</w:t>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Arial" w:cs="Courier New"/>
      <w:color w:val="auto"/>
      <w:kern w:val="2"/>
      <w:sz w:val="24"/>
      <w:szCs w:val="24"/>
      <w:lang w:val="en-CA" w:eastAsia="zh-CN" w:bidi="hi-IN"/>
    </w:rPr>
  </w:style>
  <w:style w:type="paragraph" w:styleId="Heading1">
    <w:name w:val="heading 1"/>
    <w:basedOn w:val="Normal"/>
    <w:next w:val="Normal"/>
    <w:qFormat/>
    <w:pPr>
      <w:keepNext w:val="true"/>
    </w:pPr>
    <w:rPr>
      <w:b/>
      <w:sz w:val="20"/>
    </w:rPr>
  </w:style>
  <w:style w:type="paragraph" w:styleId="Heading2">
    <w:name w:val="heading 2"/>
    <w:basedOn w:val="Normal"/>
    <w:next w:val="Normal"/>
    <w:qFormat/>
    <w:pPr>
      <w:keepNext w:val="true"/>
      <w:widowControl w:val="false"/>
    </w:pPr>
    <w:rPr>
      <w:b/>
      <w:i/>
      <w:sz w:val="20"/>
    </w:rPr>
  </w:style>
  <w:style w:type="paragraph" w:styleId="Heading3">
    <w:name w:val="heading 3"/>
    <w:basedOn w:val="Normal"/>
    <w:next w:val="Normal"/>
    <w:qFormat/>
    <w:pPr>
      <w:keepNext w:val="true"/>
      <w:widowControl w:val="false"/>
      <w:ind w:end="-1196"/>
    </w:pPr>
    <w:rPr>
      <w:b/>
      <w:sz w:val="20"/>
    </w:rPr>
  </w:style>
  <w:style w:type="paragraph" w:styleId="Heading4">
    <w:name w:val="heading 4"/>
    <w:basedOn w:val="Normal"/>
    <w:next w:val="Normal"/>
    <w:qFormat/>
    <w:pPr>
      <w:keepNext w:val="true"/>
      <w:pBdr>
        <w:top w:val="single" w:sz="6" w:space="1" w:color="000000"/>
      </w:pBdr>
      <w:tabs>
        <w:tab w:val="clear" w:pos="720"/>
        <w:tab w:val="left" w:pos="9990" w:leader="none"/>
      </w:tabs>
      <w:ind w:end="-36"/>
    </w:pPr>
    <w:rPr>
      <w:b/>
      <w:sz w:val="20"/>
    </w:rPr>
  </w:style>
  <w:style w:type="paragraph" w:styleId="Heading5">
    <w:name w:val="heading 5"/>
    <w:basedOn w:val="Normal"/>
    <w:next w:val="Normal"/>
    <w:qFormat/>
    <w:pPr>
      <w:keepNext w:val="true"/>
      <w:jc w:val="end"/>
    </w:pPr>
    <w:rPr>
      <w:b/>
      <w:sz w:val="20"/>
    </w:rPr>
  </w:style>
  <w:style w:type="paragraph" w:styleId="Heading6">
    <w:name w:val="heading 6"/>
    <w:basedOn w:val="Normal"/>
    <w:next w:val="Normal"/>
    <w:qFormat/>
    <w:pPr>
      <w:keepNext w:val="true"/>
      <w:jc w:val="center"/>
    </w:pPr>
    <w:rPr>
      <w:b/>
      <w:sz w:val="20"/>
    </w:rPr>
  </w:style>
  <w:style w:type="paragraph" w:styleId="Heading8">
    <w:name w:val="heading 8"/>
    <w:basedOn w:val="Normal"/>
    <w:next w:val="Normal"/>
    <w:qFormat/>
    <w:pPr>
      <w:keepNext w:val="true"/>
      <w:jc w:val="center"/>
    </w:pPr>
    <w:rPr>
      <w:b/>
      <w:sz w:val="32"/>
    </w:rPr>
  </w:style>
  <w:style w:type="paragraph" w:styleId="Heading9">
    <w:name w:val="heading 9"/>
    <w:basedOn w:val="Normal"/>
    <w:next w:val="Normal"/>
    <w:qFormat/>
    <w:pPr>
      <w:keepNext w:val="true"/>
      <w:widowControl w:val="false"/>
      <w:tabs>
        <w:tab w:val="clear" w:pos="720"/>
        <w:tab w:val="left" w:pos="2870" w:leader="none"/>
        <w:tab w:val="left" w:pos="3617" w:leader="none"/>
      </w:tabs>
      <w:ind w:hanging="0" w:start="420" w:end="-217"/>
    </w:pPr>
    <w:rPr>
      <w:b/>
      <w:sz w:val="20"/>
    </w:rPr>
  </w:style>
  <w:style w:type="character" w:styleId="DefaultParagraphFont">
    <w:name w:val="Default Paragraph Font"/>
    <w:qFormat/>
    <w:rPr>
      <w:sz w:val="20"/>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Title">
    <w:name w:val="Title"/>
    <w:basedOn w:val="Normal"/>
    <w:qFormat/>
    <w:pPr>
      <w:jc w:val="center"/>
    </w:pPr>
    <w:rPr>
      <w:rFonts w:ascii="Arial" w:hAnsi="Arial"/>
      <w:b/>
      <w:sz w:val="32"/>
    </w:rPr>
  </w:style>
  <w:style w:type="paragraph" w:styleId="BodyTextIndent2">
    <w:name w:val="Body Text Indent 2"/>
    <w:basedOn w:val="Normal"/>
    <w:qFormat/>
    <w:pPr>
      <w:ind w:hanging="180" w:start="540"/>
    </w:pPr>
    <w:rPr>
      <w:sz w:val="20"/>
    </w:rPr>
  </w:style>
  <w:style w:type="paragraph" w:styleId="CommentText">
    <w:name w:val="Comment Text"/>
    <w:basedOn w:val="Normal"/>
    <w:qFormat/>
    <w:pPr/>
    <w:rPr>
      <w:sz w:val="20"/>
    </w:rPr>
  </w:style>
  <w:style w:type="paragraph" w:styleId="BlockText">
    <w:name w:val="Block Text"/>
    <w:basedOn w:val="Normal"/>
    <w:qFormat/>
    <w:pPr>
      <w:pBdr>
        <w:top w:val="single" w:sz="8" w:space="1" w:color="000000"/>
      </w:pBdr>
      <w:ind w:hanging="6480" w:start="6480" w:end="-36"/>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3616</Words>
  <CharactersWithSpaces>20612</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2001-11-26T15:16:00Z</dcterms:created>
  <dc:creator>kjolly</dc:creator>
  <dc:description/>
  <dc:language>en-CA</dc:language>
  <cp:lastModifiedBy/>
  <cp:lastPrinted>2001-11-26T15:21:00Z</cp:lastPrinted>
  <dcterms:modified xsi:type="dcterms:W3CDTF">2001-11-26T15:21:00Z</dcterms:modified>
  <cp:revision>5</cp:revision>
  <dc:subject/>
  <dc:title>ENRON RISK ASSESSMENT AND CONTROL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dkoogler</vt:lpwstr>
  </property>
</Properties>
</file>