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120"/>
        <w:rPr>
          <w:spacing w:val="150"/>
        </w:rPr>
      </w:pPr>
      <w:r>
        <w:rPr>
          <w:spacing w:val="150"/>
        </w:rPr>
        <w:t>Memorandum</w:t>
      </w:r>
    </w:p>
    <w:p>
      <w:pPr>
        <w:pStyle w:val="Normal"/>
        <w:rPr>
          <w:spacing w:val="150"/>
        </w:rPr>
      </w:pPr>
      <w:r>
        <w:rPr>
          <w:spacing w:val="150"/>
        </w:rPr>
      </w:r>
    </w:p>
    <w:tbl>
      <w:tblPr>
        <w:tblW w:w="9468" w:type="dxa"/>
        <w:jc w:val="start"/>
        <w:tblInd w:w="0" w:type="dxa"/>
        <w:tblLayout w:type="fixed"/>
        <w:tblCellMar>
          <w:top w:w="0" w:type="dxa"/>
          <w:start w:w="108" w:type="dxa"/>
          <w:bottom w:w="0" w:type="dxa"/>
          <w:end w:w="108" w:type="dxa"/>
        </w:tblCellMar>
      </w:tblPr>
      <w:tblGrid>
        <w:gridCol w:w="1440"/>
        <w:gridCol w:w="8028"/>
      </w:tblGrid>
      <w:tr>
        <w:trPr/>
        <w:tc>
          <w:tcPr>
            <w:tcW w:w="1440" w:type="dxa"/>
            <w:tcBorders/>
          </w:tcPr>
          <w:p>
            <w:pPr>
              <w:pStyle w:val="Normal"/>
              <w:spacing w:before="240" w:after="240"/>
              <w:rPr>
                <w:b/>
                <w:caps/>
              </w:rPr>
            </w:pPr>
            <w:r>
              <w:rPr>
                <w:b/>
                <w:caps/>
              </w:rPr>
              <w:t>TO:</w:t>
            </w:r>
          </w:p>
        </w:tc>
        <w:tc>
          <w:tcPr>
            <w:tcW w:w="8028" w:type="dxa"/>
            <w:tcBorders/>
          </w:tcPr>
          <w:p>
            <w:pPr>
              <w:pStyle w:val="Header"/>
              <w:tabs>
                <w:tab w:val="clear" w:pos="4320"/>
                <w:tab w:val="clear" w:pos="8640"/>
              </w:tabs>
              <w:spacing w:before="240" w:after="0"/>
              <w:rPr/>
            </w:pPr>
            <w:r>
              <w:rPr/>
              <w:t>Central and Eastern European Committee</w:t>
            </w:r>
          </w:p>
        </w:tc>
      </w:tr>
      <w:tr>
        <w:trPr/>
        <w:tc>
          <w:tcPr>
            <w:tcW w:w="1440" w:type="dxa"/>
            <w:tcBorders/>
          </w:tcPr>
          <w:p>
            <w:pPr>
              <w:pStyle w:val="Normal"/>
              <w:spacing w:before="240" w:after="240"/>
              <w:rPr>
                <w:b/>
                <w:caps/>
              </w:rPr>
            </w:pPr>
            <w:r>
              <w:rPr>
                <w:b/>
                <w:caps/>
              </w:rPr>
              <w:t>From:</w:t>
            </w:r>
          </w:p>
        </w:tc>
        <w:tc>
          <w:tcPr>
            <w:tcW w:w="8028" w:type="dxa"/>
            <w:tcBorders/>
          </w:tcPr>
          <w:p>
            <w:pPr>
              <w:pStyle w:val="Header"/>
              <w:tabs>
                <w:tab w:val="clear" w:pos="4320"/>
                <w:tab w:val="clear" w:pos="8640"/>
              </w:tabs>
              <w:spacing w:before="240" w:after="0"/>
              <w:rPr/>
            </w:pPr>
            <w:r>
              <w:rPr/>
              <w:t>Peter Werner</w:t>
            </w:r>
          </w:p>
        </w:tc>
      </w:tr>
      <w:tr>
        <w:trPr/>
        <w:tc>
          <w:tcPr>
            <w:tcW w:w="1440" w:type="dxa"/>
            <w:tcBorders/>
          </w:tcPr>
          <w:p>
            <w:pPr>
              <w:pStyle w:val="Normal"/>
              <w:spacing w:before="240" w:after="240"/>
              <w:rPr>
                <w:b/>
                <w:caps/>
              </w:rPr>
            </w:pPr>
            <w:r>
              <w:rPr>
                <w:b/>
                <w:caps/>
              </w:rPr>
              <w:t>Date:</w:t>
            </w:r>
          </w:p>
        </w:tc>
        <w:tc>
          <w:tcPr>
            <w:tcW w:w="8028" w:type="dxa"/>
            <w:tcBorders/>
          </w:tcPr>
          <w:p>
            <w:pPr>
              <w:pStyle w:val="Normal"/>
              <w:spacing w:before="240" w:after="0"/>
              <w:rPr/>
            </w:pPr>
            <w:r>
              <w:rPr/>
              <w:t>16 November 2001</w:t>
            </w:r>
          </w:p>
        </w:tc>
      </w:tr>
      <w:tr>
        <w:trPr/>
        <w:tc>
          <w:tcPr>
            <w:tcW w:w="1440" w:type="dxa"/>
            <w:tcBorders/>
          </w:tcPr>
          <w:p>
            <w:pPr>
              <w:pStyle w:val="Normal"/>
              <w:spacing w:before="240" w:after="240"/>
              <w:rPr>
                <w:b/>
                <w:caps/>
              </w:rPr>
            </w:pPr>
            <w:r>
              <w:rPr>
                <w:b/>
                <w:caps/>
              </w:rPr>
              <w:t>Re:</w:t>
            </w:r>
          </w:p>
        </w:tc>
        <w:tc>
          <w:tcPr>
            <w:tcW w:w="8028" w:type="dxa"/>
            <w:tcBorders/>
          </w:tcPr>
          <w:p>
            <w:pPr>
              <w:pStyle w:val="Normal"/>
              <w:spacing w:before="240" w:after="0"/>
              <w:rPr>
                <w:b/>
              </w:rPr>
            </w:pPr>
            <w:r>
              <w:rPr>
                <w:b/>
              </w:rPr>
              <w:t>ISDA/EBRD Netting Law Project  - Hungary</w:t>
            </w:r>
          </w:p>
        </w:tc>
      </w:tr>
    </w:tbl>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0" allowOverlap="1" relativeHeight="3">
                <wp:simplePos x="0" y="0"/>
                <wp:positionH relativeFrom="column">
                  <wp:posOffset>-91440</wp:posOffset>
                </wp:positionH>
                <wp:positionV relativeFrom="paragraph">
                  <wp:posOffset>24130</wp:posOffset>
                </wp:positionV>
                <wp:extent cx="6035040" cy="0"/>
                <wp:effectExtent l="0" t="9525" r="0" b="9525"/>
                <wp:wrapTopAndBottom/>
                <wp:docPr id="1" name=""/>
                <a:graphic xmlns:a="http://schemas.openxmlformats.org/drawingml/2006/main">
                  <a:graphicData uri="http://schemas.microsoft.com/office/word/2010/wordprocessingShape">
                    <wps:wsp>
                      <wps:cNvSpPr/>
                      <wps:spPr>
                        <a:xfrm>
                          <a:off x="0" y="0"/>
                          <a:ext cx="603504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7.2pt,1.9pt" to="467.95pt,1.9pt" stroked="t" o:allowincell="f" style="position:absolute">
                <v:stroke color="black" weight="19080" joinstyle="miter" endcap="flat"/>
                <v:fill o:detectmouseclick="t" on="false"/>
                <w10:wrap type="topAndBottom"/>
              </v:line>
            </w:pict>
          </mc:Fallback>
        </mc:AlternateContent>
      </w:r>
    </w:p>
    <w:p>
      <w:pPr>
        <w:pStyle w:val="Normal"/>
        <w:rPr>
          <w:sz w:val="22"/>
        </w:rPr>
      </w:pPr>
      <w:r>
        <w:rPr>
          <w:sz w:val="22"/>
        </w:rPr>
      </w:r>
    </w:p>
    <w:p>
      <w:pPr>
        <w:pStyle w:val="BodyText"/>
        <w:spacing w:lineRule="auto" w:line="240" w:before="0" w:after="0"/>
        <w:rPr/>
      </w:pPr>
      <w:r>
        <w:rPr/>
        <w:t>Please see attached a memorandum from our Hungarian counsel on the latest situation of the draft close-out netting provision currently under discussion by the Hungarian parliament.</w:t>
      </w:r>
    </w:p>
    <w:p>
      <w:pPr>
        <w:pStyle w:val="BodyText"/>
        <w:spacing w:lineRule="auto" w:line="240" w:before="0" w:after="0"/>
        <w:rPr/>
      </w:pPr>
      <w:r>
        <w:rPr/>
      </w:r>
    </w:p>
    <w:p>
      <w:pPr>
        <w:pStyle w:val="BodyText"/>
        <w:spacing w:lineRule="auto" w:line="240" w:before="0" w:after="0"/>
        <w:rPr/>
      </w:pPr>
      <w:r>
        <w:rPr/>
        <w:t>The Hungarian parliament is expected to vote on the bill at the end of November. The bill is scheduled to become effective on January 1, 2002 (see CEE Updates 09/2001 and 10/2001 for additional information).</w:t>
      </w:r>
    </w:p>
    <w:p>
      <w:pPr>
        <w:pStyle w:val="BodyText"/>
        <w:spacing w:lineRule="auto" w:line="240" w:before="0" w:after="0"/>
        <w:rPr/>
      </w:pPr>
      <w:r>
        <w:rPr/>
      </w:r>
    </w:p>
    <w:p>
      <w:pPr>
        <w:pStyle w:val="BodyText"/>
        <w:spacing w:lineRule="auto" w:line="240" w:before="0" w:after="0"/>
        <w:rPr/>
      </w:pPr>
      <w:r>
        <w:rPr/>
        <w:t>With apologies for the short notice, we would like to invite members of the Central and Eastern European Committee to review the relevant provisions of the bill and comment on it. For the convenience of Committee members, the Allen &amp; Overy memorandum contains an English translation.</w:t>
      </w:r>
    </w:p>
    <w:p>
      <w:pPr>
        <w:pStyle w:val="BodyText"/>
        <w:spacing w:lineRule="auto" w:line="240" w:before="0" w:after="0"/>
        <w:rPr/>
      </w:pPr>
      <w:r>
        <w:rPr/>
      </w:r>
    </w:p>
    <w:p>
      <w:pPr>
        <w:pStyle w:val="BodyText"/>
        <w:spacing w:lineRule="auto" w:line="240" w:before="0" w:after="0"/>
        <w:rPr/>
      </w:pPr>
      <w:r>
        <w:rPr/>
        <w:t>Since time is of the essence, please submit comments to the draft to Peter Werner at ISDA’s European office (pwerner@isda-eur.org) and Fanni Koszeg (Fanni.Koszeg@AllenOvery.com) and Zoltan Lengyel (</w:t>
      </w:r>
      <w:hyperlink r:id="rId2">
        <w:r>
          <w:rPr>
            <w:rStyle w:val="Hyperlink"/>
          </w:rPr>
          <w:t>Zoltan.Lengyel@AllenOvery.com</w:t>
        </w:r>
      </w:hyperlink>
      <w:r>
        <w:rPr/>
        <w:t>) at Allen &amp; Overy.</w:t>
      </w:r>
    </w:p>
    <w:p>
      <w:pPr>
        <w:pStyle w:val="BodyText"/>
        <w:spacing w:lineRule="auto" w:line="240" w:before="0" w:after="0"/>
        <w:rPr/>
      </w:pPr>
      <w:r>
        <w:rPr/>
      </w:r>
    </w:p>
    <w:p>
      <w:pPr>
        <w:pStyle w:val="BodyText"/>
        <w:spacing w:lineRule="auto" w:line="240" w:before="0" w:after="0"/>
        <w:rPr/>
      </w:pPr>
      <w:r>
        <w:rPr/>
        <w:t>For further queries please contact Peter Werner at ISDA’s European office, phone +44-20-7330-3550, fax +44-20-7330-3555, e-mail pwerner@isda-eur.org.</w:t>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Style w:val="PageNumber"/>
      </w:rPr>
    </w:pPr>
    <w:r>
      <w:rPr>
        <w:b/>
        <w:sz w:val="48"/>
      </w:rPr>
      <w:t>ISDA</w:t>
    </w:r>
    <w:r>
      <w:rPr/>
      <w:t xml:space="preserve"> </w:t>
    </w:r>
    <w:r>
      <w:rPr>
        <w:sz w:val="20"/>
      </w:rPr>
      <w:t>International Swaps and Derivatives Association, Inc.</w:t>
    </w: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b/>
        <w:sz w:val="96"/>
      </w:rPr>
    </w:pPr>
    <w:r>
      <w:rPr>
        <w:b/>
        <w:sz w:val="96"/>
      </w:rPr>
      <w:t>ISDA</w:t>
    </w:r>
  </w:p>
  <w:p>
    <w:pPr>
      <w:pStyle w:val="Header"/>
      <w:tabs>
        <w:tab w:val="clear" w:pos="8640"/>
        <w:tab w:val="center" w:pos="4320" w:leader="none"/>
        <w:tab w:val="right" w:pos="9360" w:leader="none"/>
      </w:tabs>
      <w:rPr>
        <w:sz w:val="20"/>
      </w:rPr>
    </w:pPr>
    <w:r>
      <w:rPr>
        <w:sz w:val="20"/>
      </w:rPr>
      <w:t>International Swaps and Derivatives Association, Inc.</w:t>
      <w:tab/>
      <w:tab/>
      <w:t>New York</w:t>
    </w:r>
  </w:p>
  <w:p>
    <w:pPr>
      <w:pStyle w:val="Header"/>
      <w:tabs>
        <w:tab w:val="clear" w:pos="8640"/>
        <w:tab w:val="center" w:pos="4320" w:leader="none"/>
        <w:tab w:val="right" w:pos="9360" w:leader="none"/>
      </w:tabs>
      <w:rPr>
        <w:sz w:val="20"/>
      </w:rPr>
    </w:pPr>
    <w:r>
      <w:rPr>
        <w:sz w:val="20"/>
      </w:rPr>
      <w:t xml:space="preserve">One New Change </w:t>
      <w:tab/>
      <w:tab/>
      <w:t>Telephone:         1 212 332 1200</w:t>
    </w:r>
  </w:p>
  <w:p>
    <w:pPr>
      <w:pStyle w:val="Header"/>
      <w:tabs>
        <w:tab w:val="clear" w:pos="8640"/>
        <w:tab w:val="center" w:pos="4320" w:leader="none"/>
        <w:tab w:val="right" w:pos="9360" w:leader="none"/>
      </w:tabs>
      <w:rPr>
        <w:sz w:val="20"/>
      </w:rPr>
    </w:pPr>
    <w:r>
      <w:rPr>
        <w:sz w:val="20"/>
      </w:rPr>
      <w:t xml:space="preserve">London, EC4M 9QQ </w:t>
      <w:tab/>
      <w:tab/>
      <w:t>Facsimile: 1 212 332 1212/1211</w:t>
    </w:r>
  </w:p>
  <w:p>
    <w:pPr>
      <w:pStyle w:val="Header"/>
      <w:tabs>
        <w:tab w:val="clear" w:pos="8640"/>
        <w:tab w:val="center" w:pos="4320" w:leader="none"/>
        <w:tab w:val="right" w:pos="9360" w:leader="none"/>
      </w:tabs>
      <w:rPr>
        <w:sz w:val="20"/>
      </w:rPr>
    </w:pPr>
    <w:r>
      <w:rPr>
        <w:sz w:val="20"/>
      </w:rPr>
      <w:t xml:space="preserve">United Kingdom </w:t>
    </w:r>
  </w:p>
  <w:p>
    <w:pPr>
      <w:pStyle w:val="Header"/>
      <w:tabs>
        <w:tab w:val="clear" w:pos="8640"/>
        <w:tab w:val="center" w:pos="4320" w:leader="none"/>
        <w:tab w:val="right" w:pos="9360" w:leader="none"/>
      </w:tabs>
      <w:rPr>
        <w:sz w:val="20"/>
      </w:rPr>
    </w:pPr>
    <w:r>
      <w:rPr>
        <w:sz w:val="20"/>
      </w:rPr>
      <w:tab/>
      <w:tab/>
      <w:t>Singapore</w:t>
    </w:r>
  </w:p>
  <w:p>
    <w:pPr>
      <w:pStyle w:val="Header"/>
      <w:tabs>
        <w:tab w:val="clear" w:pos="8640"/>
        <w:tab w:val="center" w:pos="4320" w:leader="none"/>
        <w:tab w:val="right" w:pos="9360" w:leader="none"/>
      </w:tabs>
      <w:rPr>
        <w:sz w:val="20"/>
      </w:rPr>
    </w:pPr>
    <w:r>
      <w:rPr>
        <w:sz w:val="20"/>
      </w:rPr>
      <w:t>Telephone: 44 (20) 7330 3550</w:t>
      <w:tab/>
      <w:tab/>
      <w:t xml:space="preserve">Telephone: </w:t>
    </w:r>
    <w:r>
      <w:rPr>
        <w:caps/>
        <w:sz w:val="20"/>
      </w:rPr>
      <w:t>(65)  538-3879</w:t>
    </w:r>
  </w:p>
  <w:p>
    <w:pPr>
      <w:pStyle w:val="Header"/>
      <w:tabs>
        <w:tab w:val="clear" w:pos="8640"/>
        <w:tab w:val="center" w:pos="4320" w:leader="none"/>
        <w:tab w:val="right" w:pos="9360" w:leader="none"/>
      </w:tabs>
      <w:rPr/>
    </w:pPr>
    <w:r>
      <w:rPr>
        <w:sz w:val="20"/>
      </w:rPr>
      <w:t>Facsimile: 44 (20) 7330 3555</w:t>
      <w:tab/>
      <w:tab/>
      <w:t>Facsimile:</w:t>
    </w:r>
    <w:r>
      <w:rPr>
        <w:caps/>
        <w:sz w:val="20"/>
      </w:rPr>
      <w:t xml:space="preserve"> (65) 538-6942</w:t>
    </w:r>
    <w:r>
      <w:rPr>
        <w:sz w:val="20"/>
      </w:rPr>
      <w:t xml:space="preserve"> </w:t>
    </w:r>
  </w:p>
  <w:p>
    <w:pPr>
      <w:pStyle w:val="Header"/>
      <w:tabs>
        <w:tab w:val="clear" w:pos="8640"/>
        <w:tab w:val="center" w:pos="4320" w:leader="none"/>
        <w:tab w:val="right" w:pos="9360" w:leader="none"/>
      </w:tabs>
      <w:rPr>
        <w:sz w:val="20"/>
      </w:rPr>
    </w:pPr>
    <w:r>
      <w:rPr>
        <w:sz w:val="20"/>
      </w:rPr>
      <w:t>email: isda@isda-eur.org</w:t>
    </w:r>
  </w:p>
  <w:p>
    <w:pPr>
      <w:pStyle w:val="Header"/>
      <w:tabs>
        <w:tab w:val="clear" w:pos="8640"/>
        <w:tab w:val="center" w:pos="4320" w:leader="none"/>
        <w:tab w:val="right" w:pos="9360" w:leader="none"/>
      </w:tabs>
      <w:rPr>
        <w:sz w:val="20"/>
      </w:rPr>
    </w:pPr>
    <w:r>
      <w:rPr>
        <w:sz w:val="20"/>
      </w:rPr>
      <w:t>website: www.isda.org</w:t>
      <w:tab/>
      <w:tab/>
      <w:t>Tokyo</w:t>
    </w:r>
  </w:p>
  <w:p>
    <w:pPr>
      <w:pStyle w:val="Header"/>
      <w:tabs>
        <w:tab w:val="clear" w:pos="8640"/>
        <w:tab w:val="center" w:pos="4320" w:leader="none"/>
        <w:tab w:val="right" w:pos="9360" w:leader="none"/>
      </w:tabs>
      <w:ind w:start="-720" w:end="0"/>
      <w:rPr>
        <w:sz w:val="20"/>
      </w:rPr>
    </w:pPr>
    <w:r>
      <w:rPr>
        <w:sz w:val="20"/>
      </w:rPr>
      <w:tab/>
      <w:tab/>
      <w:t>Telephone: 81 (3) 5227-3282</w:t>
    </w:r>
  </w:p>
  <w:p>
    <w:pPr>
      <w:pStyle w:val="Header"/>
      <w:tabs>
        <w:tab w:val="clear" w:pos="8640"/>
        <w:tab w:val="center" w:pos="4320" w:leader="none"/>
        <w:tab w:val="right" w:pos="9360" w:leader="none"/>
        <w:tab w:val="left" w:pos="9990" w:leader="none"/>
      </w:tabs>
      <w:ind w:start="-720" w:end="0"/>
      <w:rPr>
        <w:sz w:val="20"/>
      </w:rPr>
    </w:pPr>
    <w:r>
      <w:rPr>
        <w:sz w:val="20"/>
      </w:rPr>
      <w:tab/>
      <w:tab/>
      <w:t>Facsimile: 81 (3) 5227-3283</w:t>
    </w:r>
  </w:p>
  <w:p>
    <w:pPr>
      <w:pStyle w:val="Header"/>
      <w:tabs>
        <w:tab w:val="clear" w:pos="8640"/>
        <w:tab w:val="center" w:pos="4320" w:leader="none"/>
        <w:tab w:val="right" w:pos="9360" w:leader="none"/>
      </w:tabs>
      <w:rPr>
        <w:sz w:val="20"/>
        <w:lang w:val="en-CA" w:eastAsia="en-CA"/>
      </w:rPr>
    </w:pPr>
    <w:r>
      <w:rPr>
        <w:sz w:val="20"/>
        <w:lang w:val="en-CA" w:eastAsia="en-CA"/>
      </w:rP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131445</wp:posOffset>
              </wp:positionV>
              <wp:extent cx="5943600" cy="0"/>
              <wp:effectExtent l="0" t="9525" r="0" b="9525"/>
              <wp:wrapNone/>
              <wp:docPr id="2" name=""/>
              <a:graphic xmlns:a="http://schemas.openxmlformats.org/drawingml/2006/main">
                <a:graphicData uri="http://schemas.microsoft.com/office/word/2010/wordprocessingShape">
                  <wps:wsp>
                    <wps:cNvSpPr/>
                    <wps:spPr>
                      <a:xfrm>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0.35pt" to="467.95pt,10.35pt" stroked="t" o:allowincell="f" style="position:absolute">
              <v:stroke color="black" weight="1908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caps/>
      <w:spacing w:val="50"/>
      <w:sz w:val="28"/>
    </w:rPr>
  </w:style>
  <w:style w:type="paragraph" w:styleId="BodyText">
    <w:name w:val="Body Text"/>
    <w:basedOn w:val="Normal"/>
    <w:pPr>
      <w:spacing w:lineRule="auto" w:line="288" w:before="0" w:after="200"/>
      <w:jc w:val="both"/>
    </w:pPr>
    <w:rPr>
      <w:rFonts w:ascii="CG Times;Times New Roman" w:hAnsi="CG Times;Times New Roman" w:cs="CG Times;Times New Roman"/>
      <w:sz w:val="22"/>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Header"/>
    <w:pPr>
      <w:jc w:val="center"/>
    </w:pPr>
    <w:rPr>
      <w:caps/>
      <w:sz w:val="28"/>
    </w:rPr>
  </w:style>
  <w:style w:type="paragraph" w:styleId="TOC2">
    <w:name w:val="toc 2"/>
    <w:basedOn w:val="Normal"/>
    <w:next w:val="Heading1"/>
    <w:pPr>
      <w:ind w:hanging="720" w:start="720" w:end="0"/>
    </w:pPr>
    <w:rPr>
      <w:b/>
      <w:caps/>
    </w:rPr>
  </w:style>
  <w:style w:type="paragraph" w:styleId="TOC3">
    <w:name w:val="toc 3"/>
    <w:basedOn w:val="Normal"/>
    <w:next w:val="Heading2"/>
    <w:pPr>
      <w:ind w:hanging="720" w:start="1440" w:end="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oltan.Lengyel@AllenOvery.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UK 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2001-11-16T09:32:00Z</dcterms:created>
  <dc:creator>pwerner</dc:creator>
  <dc:description/>
  <dc:language>en-CA</dc:language>
  <cp:lastModifiedBy>USER</cp:lastModifiedBy>
  <cp:lastPrinted>2001-11-16T09:08:00Z</cp:lastPrinted>
  <dcterms:modified xsi:type="dcterms:W3CDTF">2001-11-16T09:32:00Z</dcterms:modified>
  <cp:revision>2</cp:revision>
  <dc:subject/>
  <dc:title>MEMORANDUM</dc:title>
</cp:coreProperties>
</file>