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June 4, 2001</w:t>
      </w:r>
    </w:p>
    <w:p>
      <w:pPr>
        <w:pStyle w:val="Normal"/>
        <w:rPr/>
      </w:pPr>
      <w:r>
        <w:rPr/>
      </w:r>
    </w:p>
    <w:p>
      <w:pPr>
        <w:pStyle w:val="Normal"/>
        <w:rPr/>
      </w:pPr>
      <w:r>
        <w:rPr/>
      </w:r>
    </w:p>
    <w:p>
      <w:pPr>
        <w:pStyle w:val="Normal"/>
        <w:rPr/>
      </w:pPr>
      <w:r>
        <w:rPr/>
      </w:r>
    </w:p>
    <w:p>
      <w:pPr>
        <w:pStyle w:val="Heading2"/>
        <w:ind w:hanging="0" w:start="0"/>
        <w:rPr/>
      </w:pPr>
      <w:r>
        <w:rPr/>
        <w:t>Kevin Coughlan</w:t>
      </w:r>
    </w:p>
    <w:p>
      <w:pPr>
        <w:pStyle w:val="Normal"/>
        <w:rPr/>
      </w:pPr>
      <w:r>
        <w:rPr/>
        <w:t>IMC Program Manager</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rPr/>
      </w:pPr>
      <w:r>
        <w:rPr/>
      </w:r>
    </w:p>
    <w:p>
      <w:pPr>
        <w:pStyle w:val="Normal"/>
        <w:ind w:hanging="720" w:start="720" w:end="0"/>
        <w:rPr>
          <w:b/>
        </w:rPr>
      </w:pPr>
      <w:r>
        <w:rPr>
          <w:b/>
        </w:rPr>
        <w:t xml:space="preserve">Re: </w:t>
        <w:tab/>
        <w:t>Protest to Southern California Edison Company Advice Letter 1549-E Establishment of the Real Time Energy Metering (RTEM) Memorandum Account</w:t>
      </w:r>
    </w:p>
    <w:p>
      <w:pPr>
        <w:pStyle w:val="Normal"/>
        <w:jc w:val="center"/>
        <w:rPr>
          <w:b/>
        </w:rPr>
      </w:pPr>
      <w:r>
        <w:rPr>
          <w:b/>
        </w:rPr>
      </w:r>
    </w:p>
    <w:p>
      <w:pPr>
        <w:pStyle w:val="Normal"/>
        <w:rPr/>
      </w:pPr>
      <w:r>
        <w:rPr/>
        <w:t xml:space="preserve">The California Energy Commission (CEC) writes to protest Southern California Edison Company’s (SCE) proposed Real Time Energy Meter (RTEM) Memorandum Account as proposed.  While the CEC strongly supports the introduction of real-time meters into electricity markets, the CEC has concerns over the specific factual basis that SCE has included in its justification for the memorandum account.  We also believe the CPUC should exercise greater oversight over SCE’s proposed RTEM activities, which will prevent potential disallowances once SCE actually proposes to recover the funds tracked in its RTEM account.  </w:t>
      </w:r>
    </w:p>
    <w:p>
      <w:pPr>
        <w:pStyle w:val="Normal"/>
        <w:rPr>
          <w:color w:val="000000"/>
        </w:rPr>
      </w:pPr>
      <w:r>
        <w:rPr>
          <w:color w:val="000000"/>
        </w:rPr>
      </w:r>
    </w:p>
    <w:p>
      <w:pPr>
        <w:pStyle w:val="Heading1"/>
        <w:ind w:hanging="0" w:start="0"/>
        <w:rPr/>
      </w:pPr>
      <w:r>
        <w:rPr/>
        <w:t>Summary of SCE’s Proposed Program</w:t>
      </w:r>
    </w:p>
    <w:p>
      <w:pPr>
        <w:pStyle w:val="Normal"/>
        <w:rPr/>
      </w:pPr>
      <w:r>
        <w:rPr/>
      </w:r>
    </w:p>
    <w:p>
      <w:pPr>
        <w:pStyle w:val="Normal"/>
        <w:rPr/>
      </w:pPr>
      <w:r>
        <w:rPr/>
        <w:t>SCE apparently believes that its implementation of RTEM will cost $3,700 per meter for a system meeting the CEC basic functionality specifications.  Since the CEC can be expected to contribute only about  $1,400 per meter, SCE proposes to create a memorandum account to track incremental expenditures over and above CEC funding.  It would request reimbursement of costs and identify capital investment for inclusion in the ratebase in the next SCE General Rate Case.</w:t>
      </w:r>
    </w:p>
    <w:p>
      <w:pPr>
        <w:pStyle w:val="Normal"/>
        <w:rPr/>
      </w:pPr>
      <w:r>
        <w:rPr/>
      </w:r>
    </w:p>
    <w:p>
      <w:pPr>
        <w:pStyle w:val="Normal"/>
        <w:rPr/>
      </w:pPr>
      <w:r>
        <w:rPr/>
        <w:t>In making its request, SCE cites passages from Decision (D.) 01-05-032 authorizing San Diego Gas &amp; Electric (SDG&amp;E) to install an RTEM system for its large customers, creating a memorandum account to track costs, and postponing reasonableness reviews for these costs to a later date.  Essentially SCE requests similar treatment to that provided to SDG&amp;E through an advice letter filing.</w:t>
      </w:r>
    </w:p>
    <w:p>
      <w:pPr>
        <w:pStyle w:val="Normal"/>
        <w:rPr/>
      </w:pPr>
      <w:r>
        <w:rPr/>
      </w:r>
    </w:p>
    <w:p>
      <w:pPr>
        <w:pStyle w:val="BodyText"/>
        <w:rPr/>
      </w:pPr>
      <w:r>
        <w:rPr/>
        <w:t>SCE does not provide any description of the scope or capabilities of the system it intends to deploy, but our informal discussions with SCE suggest that SCE intends to create a system that relies principally, if not fully, on internal SCE resources and personnel.</w:t>
      </w:r>
    </w:p>
    <w:p>
      <w:pPr>
        <w:pStyle w:val="Normal"/>
        <w:rPr/>
      </w:pPr>
      <w:r>
        <w:rPr/>
      </w:r>
    </w:p>
    <w:p>
      <w:pPr>
        <w:pStyle w:val="Normal"/>
        <w:rPr/>
      </w:pPr>
      <w:r>
        <w:rPr/>
        <w:t xml:space="preserve">SCE proposes an expedited comment and decision process in order that a decision can be issued by June 14, 2001, </w:t>
      </w:r>
      <w:r>
        <w:rPr>
          <w:color w:val="000000"/>
        </w:rPr>
        <w:t>because of</w:t>
      </w:r>
      <w:r>
        <w:rPr>
          <w:i/>
          <w:color w:val="FF0000"/>
        </w:rPr>
        <w:t xml:space="preserve"> </w:t>
      </w:r>
      <w:r>
        <w:rPr/>
        <w:t>the urgent need for RTEMs during the summer and fall of 2001 to achieve various conservation benefits.</w:t>
      </w:r>
    </w:p>
    <w:p>
      <w:pPr>
        <w:pStyle w:val="Normal"/>
        <w:rPr/>
      </w:pPr>
      <w:r>
        <w:rPr/>
      </w:r>
    </w:p>
    <w:p>
      <w:pPr>
        <w:pStyle w:val="Closing"/>
        <w:spacing w:lineRule="auto" w:line="240"/>
        <w:ind w:start="0" w:end="0"/>
        <w:rPr>
          <w:rFonts w:ascii="Arial" w:hAnsi="Arial" w:cs="Arial"/>
          <w:b/>
          <w:sz w:val="24"/>
        </w:rPr>
      </w:pPr>
      <w:r>
        <w:rPr>
          <w:rFonts w:cs="Arial" w:ascii="Arial" w:hAnsi="Arial"/>
          <w:b/>
          <w:sz w:val="24"/>
        </w:rPr>
        <w:t>Overview of CEC RTEM Program</w:t>
      </w:r>
    </w:p>
    <w:p>
      <w:pPr>
        <w:pStyle w:val="Closing"/>
        <w:spacing w:lineRule="auto" w:line="240"/>
        <w:ind w:start="0" w:end="0"/>
        <w:rPr>
          <w:rFonts w:ascii="Arial" w:hAnsi="Arial" w:cs="Arial"/>
          <w:b/>
          <w:sz w:val="24"/>
        </w:rPr>
      </w:pPr>
      <w:r>
        <w:rPr>
          <w:rFonts w:cs="Arial" w:ascii="Arial" w:hAnsi="Arial"/>
          <w:b/>
          <w:sz w:val="24"/>
        </w:rPr>
      </w:r>
    </w:p>
    <w:p>
      <w:pPr>
        <w:pStyle w:val="Closing"/>
        <w:spacing w:lineRule="auto" w:line="240"/>
        <w:ind w:start="0" w:end="0"/>
        <w:rPr>
          <w:rFonts w:ascii="Arial" w:hAnsi="Arial" w:cs="Arial"/>
          <w:sz w:val="24"/>
        </w:rPr>
      </w:pPr>
      <w:r>
        <w:rPr>
          <w:rFonts w:cs="Arial" w:ascii="Arial" w:hAnsi="Arial"/>
          <w:sz w:val="24"/>
        </w:rPr>
        <w:t>ABX1 29 allocated $35 million to the CEC to underwrite the cost of metering and related information systems for all customers with demands greater than 200 kW.  The CEC interprets this legislation to apply equally to customers being served by investor owned and municipal utilities operating in California.  No allocation or promise of funding was made in advance by the Legislature or the CEC to SCE or any other utility.</w:t>
      </w:r>
    </w:p>
    <w:p>
      <w:pPr>
        <w:pStyle w:val="Closing"/>
        <w:spacing w:lineRule="auto" w:line="24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t>To help guide the equitable distribution of ABX1 29 funds, the CEC established a meter “budget target” of $1,400 per meter.  The meter “budget target” was developed based on meetings with municipal and investor utilities (including SCE) as well as a broad cross section of meter vendors and other system providers.  Based on this information, the CEC determined that an allocation of $1,400 per meter was sufficient to cover meter hardware, installation, communication, and other information service costs under either a conventional purchase or through service provider contracts sufficient to meet ABX1 29 requirements.</w:t>
      </w:r>
    </w:p>
    <w:p>
      <w:pPr>
        <w:pStyle w:val="Closing"/>
        <w:spacing w:lineRule="auto" w:line="240"/>
        <w:ind w:start="0" w:end="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t xml:space="preserve">Based on the $1,400 meter “budget target,” the CEC also determined that the $35 million allocation under ABX1 29 would not be sufficient to cover metering costs for the entire population of qualified customers.  In part this mismatch comes from an incomplete count of &gt;200 kW meters provided by utilities during the discussions in the Governor’s Office.  Therefore to further guide the distribution of funds the CEC:  (1) established a set of functional qualifications and criteria that each utility system would have to meet to qualify for funding, and; (2) publicly announced that all funding would be provided on a first-come first-served basis.  </w:t>
      </w:r>
    </w:p>
    <w:p>
      <w:pPr>
        <w:pStyle w:val="Closing"/>
        <w:spacing w:lineRule="auto" w:line="240"/>
        <w:ind w:start="0" w:end="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t xml:space="preserve">SCE and all other investor owned utilities, as well as the municipal utilities, were provided with this information in private meetings, other direct contacts, a public workshop and through utility association representatives.  </w:t>
      </w:r>
    </w:p>
    <w:p>
      <w:pPr>
        <w:pStyle w:val="Closing"/>
        <w:spacing w:lineRule="auto" w:line="24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t>To qualify for funding for RTEMs under ABX1 29, utilities are required to submit a proposal and agree to provide the following:</w:t>
      </w:r>
    </w:p>
    <w:p>
      <w:pPr>
        <w:pStyle w:val="Closing"/>
        <w:spacing w:lineRule="auto" w:line="240"/>
        <w:ind w:start="0" w:end="0"/>
        <w:rPr>
          <w:rFonts w:ascii="Arial" w:hAnsi="Arial" w:cs="Arial"/>
          <w:sz w:val="24"/>
        </w:rPr>
      </w:pPr>
      <w:r>
        <w:rPr>
          <w:rFonts w:cs="Arial" w:ascii="Arial" w:hAnsi="Arial"/>
          <w:sz w:val="24"/>
        </w:rPr>
      </w:r>
    </w:p>
    <w:p>
      <w:pPr>
        <w:pStyle w:val="Footer"/>
        <w:numPr>
          <w:ilvl w:val="0"/>
          <w:numId w:val="3"/>
        </w:numPr>
        <w:tabs>
          <w:tab w:val="clear" w:pos="4320"/>
          <w:tab w:val="clear" w:pos="8640"/>
          <w:tab w:val="left" w:pos="540" w:leader="none"/>
          <w:tab w:val="left" w:pos="1890" w:leader="none"/>
        </w:tabs>
        <w:rPr/>
      </w:pPr>
      <w:r>
        <w:rPr/>
        <w:t>CPUC approved, direct-access compatible, billing quality interval meters,</w:t>
      </w:r>
    </w:p>
    <w:p>
      <w:pPr>
        <w:pStyle w:val="Footer"/>
        <w:numPr>
          <w:ilvl w:val="0"/>
          <w:numId w:val="3"/>
        </w:numPr>
        <w:tabs>
          <w:tab w:val="clear" w:pos="4320"/>
          <w:tab w:val="clear" w:pos="8640"/>
          <w:tab w:val="left" w:pos="0" w:leader="none"/>
        </w:tabs>
        <w:rPr/>
      </w:pPr>
      <w:r>
        <w:rPr/>
        <w:t>Communication links to each meter capable of remotely collecting end-user usage data no less than once during each 24 hour period,</w:t>
      </w:r>
    </w:p>
    <w:p>
      <w:pPr>
        <w:pStyle w:val="Footer"/>
        <w:numPr>
          <w:ilvl w:val="0"/>
          <w:numId w:val="3"/>
        </w:numPr>
        <w:tabs>
          <w:tab w:val="clear" w:pos="4320"/>
          <w:tab w:val="clear" w:pos="8640"/>
          <w:tab w:val="left" w:pos="540" w:leader="none"/>
        </w:tabs>
        <w:rPr/>
      </w:pPr>
      <w:r>
        <w:rPr/>
        <w:t xml:space="preserve">Either meter integrated pulse initiating hardware and software or recommendations for acceptable ancillary hardware and software that can be used either by the company or acquired and used by individual end-users at their own expense to directly access their own metered usage data at intervals more frequently than once during each 24 hour period, </w:t>
      </w:r>
    </w:p>
    <w:p>
      <w:pPr>
        <w:pStyle w:val="Footer"/>
        <w:numPr>
          <w:ilvl w:val="0"/>
          <w:numId w:val="3"/>
        </w:numPr>
        <w:tabs>
          <w:tab w:val="clear" w:pos="4320"/>
          <w:tab w:val="clear" w:pos="8640"/>
          <w:tab w:val="left" w:pos="540" w:leader="none"/>
          <w:tab w:val="left" w:pos="720" w:leader="none"/>
          <w:tab w:val="left" w:pos="1260" w:leader="none"/>
        </w:tabs>
        <w:rPr/>
      </w:pPr>
      <w:r>
        <w:rPr/>
        <w:t xml:space="preserve">Access to a centralized web portal or other information system that can provide individual targeted end-users with timely graphical and/or tabular energy usage and other information regarding their own facilities as well as pricing, electrical system resource status and other system notices and information. </w:t>
      </w:r>
    </w:p>
    <w:p>
      <w:pPr>
        <w:pStyle w:val="Footer"/>
        <w:numPr>
          <w:ilvl w:val="0"/>
          <w:numId w:val="3"/>
        </w:numPr>
        <w:tabs>
          <w:tab w:val="clear" w:pos="4320"/>
          <w:tab w:val="clear" w:pos="8640"/>
          <w:tab w:val="left" w:pos="540" w:leader="none"/>
        </w:tabs>
        <w:rPr/>
      </w:pPr>
      <w:r>
        <w:rPr/>
        <w:t>A priority implementation plan that assigns:</w:t>
      </w:r>
    </w:p>
    <w:p>
      <w:pPr>
        <w:pStyle w:val="BodyTextIndent3"/>
        <w:rPr/>
      </w:pPr>
      <w:r>
        <w:rPr/>
        <w:t>5.1     Highest implementation priority to end-users that have already volunteered for or are awaiting participation in existing demand responsive programs</w:t>
      </w:r>
    </w:p>
    <w:p>
      <w:pPr>
        <w:pStyle w:val="BodyTextIndent3"/>
        <w:tabs>
          <w:tab w:val="clear" w:pos="2160"/>
        </w:tabs>
        <w:rPr/>
      </w:pPr>
      <w:r>
        <w:rPr/>
        <w:t>5.2.</w:t>
        <w:tab/>
        <w:t xml:space="preserve">Remaining implementation priority to end-users based on peak demand, where the largest end-users receive the highest priority. </w:t>
      </w:r>
    </w:p>
    <w:p>
      <w:pPr>
        <w:pStyle w:val="Normal"/>
        <w:ind w:hanging="660" w:start="720" w:end="0"/>
        <w:rPr/>
      </w:pPr>
      <w:r>
        <w:rPr/>
        <w:t>6.</w:t>
        <w:tab/>
        <w:t>Contractor will also provide each end-user, at the time of meter installation, with the following:</w:t>
      </w:r>
    </w:p>
    <w:p>
      <w:pPr>
        <w:pStyle w:val="BodyTextIndent2"/>
        <w:ind w:hanging="630" w:start="1350" w:end="0"/>
        <w:rPr/>
      </w:pPr>
      <w:r>
        <w:rPr/>
        <w:t>6.1    Information on all applicable demand responsive and conservation programs that either require or make use of interval metering capabilities.   At a minimum, this notification will include information and the prospective costs and benefits of participating in CPUC approved utility curtailable/interruptible rate options, the California Independent System Operator Demand Relief and other related programs, the 20/20 conservation program and all other applicable CEC sponsored demand responsiveness programs.</w:t>
      </w:r>
    </w:p>
    <w:p>
      <w:pPr>
        <w:pStyle w:val="Normal"/>
        <w:tabs>
          <w:tab w:val="clear" w:pos="720"/>
          <w:tab w:val="left" w:pos="2160" w:leader="none"/>
        </w:tabs>
        <w:ind w:hanging="540" w:start="1260" w:end="0"/>
        <w:rPr/>
      </w:pPr>
      <w:r>
        <w:rPr/>
        <w:t xml:space="preserve">6.2    Training on the use of the metering and end-user information systems.  </w:t>
      </w:r>
    </w:p>
    <w:p>
      <w:pPr>
        <w:pStyle w:val="Closing"/>
        <w:spacing w:lineRule="auto" w:line="240"/>
        <w:ind w:start="0" w:end="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t>Through May 25, 2001, the CEC had received completed proposals from the Los Angeles Department of Water and Power (LADWP) and Pacific Gas and Electric Company (PG&amp;E) that met all criteria for funding.  Contracts for each of these utility proposals are proceeding through the expedited CEC approval process.  The number of meters, cost per meter and total funding requested under each of these utility proposals is presented in the table that follows.</w:t>
      </w:r>
    </w:p>
    <w:p>
      <w:pPr>
        <w:pStyle w:val="Closing"/>
        <w:spacing w:lineRule="auto" w:line="240"/>
        <w:ind w:start="0" w:end="0"/>
        <w:rPr>
          <w:rFonts w:ascii="Arial" w:hAnsi="Arial" w:cs="Arial"/>
          <w:sz w:val="24"/>
        </w:rPr>
      </w:pPr>
      <w:r>
        <w:rPr>
          <w:rFonts w:cs="Arial" w:ascii="Arial" w:hAnsi="Arial"/>
          <w:sz w:val="24"/>
        </w:rPr>
      </w:r>
    </w:p>
    <w:tbl>
      <w:tblPr>
        <w:tblW w:w="8821" w:type="dxa"/>
        <w:jc w:val="start"/>
        <w:tblInd w:w="287" w:type="dxa"/>
        <w:tblLayout w:type="fixed"/>
        <w:tblCellMar>
          <w:top w:w="0" w:type="dxa"/>
          <w:start w:w="108" w:type="dxa"/>
          <w:bottom w:w="0" w:type="dxa"/>
          <w:end w:w="108" w:type="dxa"/>
        </w:tblCellMar>
      </w:tblPr>
      <w:tblGrid>
        <w:gridCol w:w="1902"/>
        <w:gridCol w:w="2193"/>
        <w:gridCol w:w="2169"/>
        <w:gridCol w:w="2557"/>
      </w:tblGrid>
      <w:tr>
        <w:trPr/>
        <w:tc>
          <w:tcPr>
            <w:tcW w:w="1902" w:type="dxa"/>
            <w:tcBorders>
              <w:top w:val="single" w:sz="6" w:space="0" w:color="000000"/>
              <w:start w:val="single" w:sz="6" w:space="0" w:color="000000"/>
              <w:bottom w:val="single" w:sz="6" w:space="0" w:color="000000"/>
              <w:end w:val="single" w:sz="6" w:space="0" w:color="000000"/>
            </w:tcBorders>
          </w:tcPr>
          <w:p>
            <w:pPr>
              <w:pStyle w:val="Closing"/>
              <w:spacing w:lineRule="auto" w:line="240"/>
              <w:ind w:start="0" w:end="0"/>
              <w:jc w:val="center"/>
              <w:rPr>
                <w:b/>
                <w:sz w:val="24"/>
              </w:rPr>
            </w:pPr>
            <w:r>
              <w:rPr>
                <w:b/>
                <w:sz w:val="24"/>
              </w:rPr>
              <w:t>Utility</w:t>
            </w:r>
          </w:p>
        </w:tc>
        <w:tc>
          <w:tcPr>
            <w:tcW w:w="2193" w:type="dxa"/>
            <w:tcBorders>
              <w:top w:val="single" w:sz="6" w:space="0" w:color="000000"/>
              <w:start w:val="single" w:sz="6" w:space="0" w:color="000000"/>
              <w:bottom w:val="single" w:sz="6" w:space="0" w:color="000000"/>
              <w:end w:val="single" w:sz="6" w:space="0" w:color="000000"/>
            </w:tcBorders>
          </w:tcPr>
          <w:p>
            <w:pPr>
              <w:pStyle w:val="Closing"/>
              <w:spacing w:lineRule="auto" w:line="240"/>
              <w:ind w:start="0" w:end="0"/>
              <w:jc w:val="center"/>
              <w:rPr>
                <w:b/>
                <w:sz w:val="24"/>
              </w:rPr>
            </w:pPr>
            <w:r>
              <w:rPr>
                <w:b/>
                <w:sz w:val="24"/>
              </w:rPr>
              <w:t>Meters to be Installed</w:t>
            </w:r>
          </w:p>
        </w:tc>
        <w:tc>
          <w:tcPr>
            <w:tcW w:w="2169" w:type="dxa"/>
            <w:tcBorders>
              <w:top w:val="single" w:sz="6" w:space="0" w:color="000000"/>
              <w:start w:val="single" w:sz="6" w:space="0" w:color="000000"/>
              <w:bottom w:val="single" w:sz="6" w:space="0" w:color="000000"/>
              <w:end w:val="single" w:sz="6" w:space="0" w:color="000000"/>
            </w:tcBorders>
          </w:tcPr>
          <w:p>
            <w:pPr>
              <w:pStyle w:val="Closing"/>
              <w:spacing w:lineRule="auto" w:line="240"/>
              <w:ind w:start="0" w:end="0"/>
              <w:jc w:val="center"/>
              <w:rPr>
                <w:b/>
                <w:sz w:val="24"/>
              </w:rPr>
            </w:pPr>
            <w:r>
              <w:rPr>
                <w:b/>
                <w:sz w:val="24"/>
              </w:rPr>
              <w:t>Cost Per Meter</w:t>
            </w:r>
          </w:p>
        </w:tc>
        <w:tc>
          <w:tcPr>
            <w:tcW w:w="2557" w:type="dxa"/>
            <w:tcBorders>
              <w:top w:val="single" w:sz="6" w:space="0" w:color="000000"/>
              <w:start w:val="single" w:sz="6" w:space="0" w:color="000000"/>
              <w:bottom w:val="single" w:sz="6" w:space="0" w:color="000000"/>
              <w:end w:val="single" w:sz="6" w:space="0" w:color="000000"/>
            </w:tcBorders>
          </w:tcPr>
          <w:p>
            <w:pPr>
              <w:pStyle w:val="Closing"/>
              <w:spacing w:lineRule="auto" w:line="240"/>
              <w:ind w:start="0" w:end="0"/>
              <w:jc w:val="center"/>
              <w:rPr>
                <w:b/>
                <w:sz w:val="24"/>
              </w:rPr>
            </w:pPr>
            <w:r>
              <w:rPr>
                <w:b/>
                <w:sz w:val="24"/>
              </w:rPr>
              <w:t>Total Funding Request</w:t>
            </w:r>
          </w:p>
        </w:tc>
      </w:tr>
      <w:tr>
        <w:trPr/>
        <w:tc>
          <w:tcPr>
            <w:tcW w:w="1902" w:type="dxa"/>
            <w:tcBorders>
              <w:top w:val="single" w:sz="6"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LADWP</w:t>
            </w:r>
          </w:p>
        </w:tc>
        <w:tc>
          <w:tcPr>
            <w:tcW w:w="2193" w:type="dxa"/>
            <w:tcBorders>
              <w:top w:val="single" w:sz="6"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3,418</w:t>
            </w:r>
          </w:p>
        </w:tc>
        <w:tc>
          <w:tcPr>
            <w:tcW w:w="2169" w:type="dxa"/>
            <w:tcBorders>
              <w:top w:val="single" w:sz="6"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$1,405</w:t>
            </w:r>
          </w:p>
        </w:tc>
        <w:tc>
          <w:tcPr>
            <w:tcW w:w="2557" w:type="dxa"/>
            <w:tcBorders>
              <w:top w:val="single" w:sz="6"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$4.8 million</w:t>
            </w:r>
          </w:p>
        </w:tc>
      </w:tr>
      <w:tr>
        <w:trPr/>
        <w:tc>
          <w:tcPr>
            <w:tcW w:w="1902" w:type="dxa"/>
            <w:tcBorders>
              <w:top w:val="single" w:sz="4"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PG&amp;E</w:t>
            </w:r>
          </w:p>
        </w:tc>
        <w:tc>
          <w:tcPr>
            <w:tcW w:w="2193" w:type="dxa"/>
            <w:tcBorders>
              <w:top w:val="single" w:sz="4"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5,900</w:t>
            </w:r>
          </w:p>
        </w:tc>
        <w:tc>
          <w:tcPr>
            <w:tcW w:w="2169" w:type="dxa"/>
            <w:tcBorders>
              <w:top w:val="single" w:sz="4"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$1,742</w:t>
            </w:r>
          </w:p>
        </w:tc>
        <w:tc>
          <w:tcPr>
            <w:tcW w:w="2557" w:type="dxa"/>
            <w:tcBorders>
              <w:top w:val="single" w:sz="4" w:space="0" w:color="000000"/>
              <w:start w:val="single" w:sz="4" w:space="0" w:color="000000"/>
              <w:bottom w:val="single" w:sz="4" w:space="0" w:color="000000"/>
              <w:end w:val="single" w:sz="4" w:space="0" w:color="000000"/>
            </w:tcBorders>
          </w:tcPr>
          <w:p>
            <w:pPr>
              <w:pStyle w:val="Closing"/>
              <w:spacing w:lineRule="auto" w:line="240"/>
              <w:ind w:start="0" w:end="0"/>
              <w:jc w:val="center"/>
              <w:rPr>
                <w:sz w:val="24"/>
              </w:rPr>
            </w:pPr>
            <w:r>
              <w:rPr>
                <w:sz w:val="24"/>
              </w:rPr>
              <w:t>$10.3 million</w:t>
            </w:r>
          </w:p>
        </w:tc>
      </w:tr>
    </w:tbl>
    <w:p>
      <w:pPr>
        <w:pStyle w:val="Closing"/>
        <w:spacing w:lineRule="auto" w:line="240"/>
        <w:ind w:start="0" w:end="0"/>
        <w:rPr>
          <w:sz w:val="24"/>
        </w:rPr>
      </w:pPr>
      <w:r>
        <w:rPr>
          <w:sz w:val="24"/>
        </w:rPr>
      </w:r>
    </w:p>
    <w:p>
      <w:pPr>
        <w:pStyle w:val="Closing"/>
        <w:spacing w:lineRule="auto" w:line="240"/>
        <w:ind w:start="0" w:end="0"/>
        <w:rPr>
          <w:sz w:val="24"/>
        </w:rPr>
      </w:pPr>
      <w:r>
        <w:rPr>
          <w:sz w:val="24"/>
        </w:rPr>
      </w:r>
    </w:p>
    <w:p>
      <w:pPr>
        <w:pStyle w:val="Closing"/>
        <w:spacing w:lineRule="auto" w:line="240"/>
        <w:ind w:start="0" w:end="0"/>
        <w:rPr>
          <w:rFonts w:ascii="Arial" w:hAnsi="Arial" w:cs="Arial"/>
          <w:sz w:val="24"/>
        </w:rPr>
      </w:pPr>
      <w:r>
        <w:rPr>
          <w:rFonts w:cs="Arial" w:ascii="Arial" w:hAnsi="Arial"/>
          <w:sz w:val="24"/>
        </w:rPr>
        <w:t xml:space="preserve">The CEC has also received inquiries or expressions of interest to seek funding from 10 other utilities.  SCE has submitted a RTEM proposal to the CEC; however, it contains no cost data and no system description.  As a consequence, the SCE package is currently considered only an expression of interest to seek funding, rather than a complete proposal that places SCE in the funding queue. </w:t>
      </w:r>
    </w:p>
    <w:p>
      <w:pPr>
        <w:pStyle w:val="Closing"/>
        <w:spacing w:lineRule="auto" w:line="240"/>
        <w:ind w:start="0" w:end="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r>
    </w:p>
    <w:p>
      <w:pPr>
        <w:pStyle w:val="Closing"/>
        <w:spacing w:lineRule="auto" w:line="240"/>
        <w:ind w:start="0" w:end="0"/>
        <w:rPr>
          <w:rFonts w:ascii="Arial" w:hAnsi="Arial" w:cs="Arial"/>
          <w:sz w:val="24"/>
        </w:rPr>
      </w:pPr>
      <w:r>
        <w:rPr>
          <w:rFonts w:cs="Arial" w:ascii="Arial" w:hAnsi="Arial"/>
          <w:sz w:val="24"/>
        </w:rPr>
      </w:r>
    </w:p>
    <w:p>
      <w:pPr>
        <w:pStyle w:val="Normal"/>
        <w:rPr>
          <w:rFonts w:ascii="Arial" w:hAnsi="Arial" w:cs="Arial"/>
          <w:b/>
          <w:sz w:val="24"/>
        </w:rPr>
      </w:pPr>
      <w:r>
        <w:rPr>
          <w:rFonts w:cs="Arial"/>
          <w:b/>
          <w:sz w:val="24"/>
        </w:rPr>
      </w:r>
    </w:p>
    <w:p>
      <w:pPr>
        <w:pStyle w:val="Normal"/>
        <w:rPr>
          <w:b/>
        </w:rPr>
      </w:pPr>
      <w:r>
        <w:rPr>
          <w:b/>
        </w:rPr>
        <w:t>CEC CONCERNS</w:t>
      </w:r>
    </w:p>
    <w:p>
      <w:pPr>
        <w:pStyle w:val="Normal"/>
        <w:rPr/>
      </w:pPr>
      <w:r>
        <w:rPr/>
      </w:r>
    </w:p>
    <w:p>
      <w:pPr>
        <w:pStyle w:val="BodyText"/>
        <w:rPr/>
      </w:pPr>
      <w:r>
        <w:rPr/>
        <w:t>The CEC is particularly concerned with two aspects of SCE’s Advice Letter filing.  First, SCE has mischaracterized the funding it is likely to receive from the CEC through ABX1 29 and SBX1 5 programs.  In general SCE is likely to receive less funding from the CEC than it asserts, and therefore ratepayer exposure to SCE’s incremental costs is greater than portrayed in the Advice Letter filing.  Second, SCE has failed to provide any demonstration or assurance that the RTEM system it will procure is the most desirable RTEM system.  Absent any discussion of the nature of the system SCE intends to deploy, the CPUC has no information on which to judge whether there are benefits to ratepayers.</w:t>
      </w:r>
    </w:p>
    <w:p>
      <w:pPr>
        <w:pStyle w:val="Normal"/>
        <w:rPr/>
      </w:pPr>
      <w:r>
        <w:rPr/>
      </w:r>
    </w:p>
    <w:p>
      <w:pPr>
        <w:pStyle w:val="Normal"/>
        <w:rPr>
          <w:u w:val="single"/>
        </w:rPr>
      </w:pPr>
      <w:r>
        <w:rPr>
          <w:u w:val="single"/>
        </w:rPr>
        <w:t>CEC Funding of SCE Projects</w:t>
      </w:r>
    </w:p>
    <w:p>
      <w:pPr>
        <w:pStyle w:val="Normal"/>
        <w:rPr/>
      </w:pPr>
      <w:r>
        <w:rPr/>
      </w:r>
    </w:p>
    <w:p>
      <w:pPr>
        <w:pStyle w:val="Normal"/>
        <w:rPr/>
      </w:pPr>
      <w:r>
        <w:rPr/>
        <w:t>As explained earlier, the CEC has determined that its ABX1 29 funding permits approximately $1,400 per meter.  SCE asserts that based on 12,000 meters in the customer size range of &gt;200 kW that the CEC will provide $16.8 million.  SCE also suggests that the CEC intends to provide about $2.2 million additional funding through SBX1 5 funding.  Neither of these amounts is likely, let alone guaranteed.</w:t>
      </w:r>
    </w:p>
    <w:p>
      <w:pPr>
        <w:pStyle w:val="Normal"/>
        <w:rPr/>
      </w:pPr>
      <w:r>
        <w:rPr/>
      </w:r>
    </w:p>
    <w:p>
      <w:pPr>
        <w:pStyle w:val="Normal"/>
        <w:rPr/>
      </w:pPr>
      <w:r>
        <w:rPr/>
        <w:t xml:space="preserve">SCE has not submitted a proposal to the CEC for ABX1 29 RTEM funding that conforms to CEC requirements.  Funding for SCE will depend upon the timing of a conforming request from SCE relative to requests from other utilities.  At this point it is premature to assert than SCE will receive the entire $16.8 million it estimates from ABX1 29 funding.  SCE could receive far less if it fails to submit a conforming request in a timely manner. </w:t>
      </w:r>
    </w:p>
    <w:p>
      <w:pPr>
        <w:pStyle w:val="Normal"/>
        <w:rPr/>
      </w:pPr>
      <w:r>
        <w:rPr/>
      </w:r>
    </w:p>
    <w:p>
      <w:pPr>
        <w:pStyle w:val="BodyText"/>
        <w:rPr/>
      </w:pPr>
      <w:r>
        <w:rPr/>
        <w:t xml:space="preserve">SCE asserts that it will receive about $2.2 million from SBX1 5 demand responsiveness program funds for the CEC.  These funds are requested to provide end-user usage data display via the Internet.  This is one of the requirements of the CEC’s ABX1 29 RTEM specifications (see #4 above) and these costs should be captured though ABX1 29 funding.  </w:t>
      </w:r>
    </w:p>
    <w:p>
      <w:pPr>
        <w:pStyle w:val="Normal"/>
        <w:rPr/>
      </w:pPr>
      <w:r>
        <w:rPr/>
      </w:r>
    </w:p>
    <w:p>
      <w:pPr>
        <w:pStyle w:val="Normal"/>
        <w:rPr/>
      </w:pPr>
      <w:r>
        <w:rPr/>
        <w:t>The CEC has made no determination that SCE will be awarded any RTEM funding.  It is premature for SCE to assert to the CPUC that it is assured of the receipt of these funds.  SCE aspires to receive $19 million from the CEC for RTEM projects, but it has no real assurance of receiving this much funding.  Thus, the memorandum account SCE requests for tracking incremental expenditures could readily expose ratepayers to much higher levels of unreimbursed costs than those SCE suggests in its Advice Letter filing.</w:t>
      </w:r>
    </w:p>
    <w:p>
      <w:pPr>
        <w:pStyle w:val="Normal"/>
        <w:rPr/>
      </w:pPr>
      <w:r>
        <w:rPr/>
      </w:r>
    </w:p>
    <w:p>
      <w:pPr>
        <w:pStyle w:val="Normal"/>
        <w:rPr>
          <w:u w:val="single"/>
        </w:rPr>
      </w:pPr>
      <w:r>
        <w:rPr>
          <w:u w:val="single"/>
        </w:rPr>
        <w:t>SCE’s RTEM System Configuration</w:t>
      </w:r>
    </w:p>
    <w:p>
      <w:pPr>
        <w:pStyle w:val="Normal"/>
        <w:rPr/>
      </w:pPr>
      <w:r>
        <w:rPr/>
      </w:r>
    </w:p>
    <w:p>
      <w:pPr>
        <w:pStyle w:val="Normal"/>
        <w:rPr/>
      </w:pPr>
      <w:r>
        <w:rPr/>
        <w:t>SCE cites passages from the CPUC’s D.01-05-032 that authorized SDG&amp;E to implement RTEM metering for customers &gt;100 kW and to establish a memorandum account to track project expenditures for potential recovery at a later date.  SCE appears to request comparable treatment.  SCE’s Advice Letter filing does not provide equivalent treatment.</w:t>
      </w:r>
    </w:p>
    <w:p>
      <w:pPr>
        <w:pStyle w:val="Normal"/>
        <w:rPr/>
      </w:pPr>
      <w:r>
        <w:rPr/>
      </w:r>
    </w:p>
    <w:p>
      <w:pPr>
        <w:pStyle w:val="Normal"/>
        <w:rPr/>
      </w:pPr>
      <w:r>
        <w:rPr/>
        <w:t>D.01-05-032 resolved issues of RTEM system scope and configuration that began with an application, included extensive formal testimony, adjudicated hearings, and a multi-party settlement.  There was a complete specification of SDG&amp;E’s proposed RTEM system configuration.  After considerable dispute, several parties entered into a settlement agreement (Agreement).  The CEC filed comments on this Agreement that both supported and opposed specific provisions of the Agreement, but the CPUC authorized SDG&amp;E to proceed despite these concerns.</w:t>
      </w:r>
    </w:p>
    <w:p>
      <w:pPr>
        <w:pStyle w:val="Normal"/>
        <w:rPr/>
      </w:pPr>
      <w:r>
        <w:rPr/>
      </w:r>
    </w:p>
    <w:p>
      <w:pPr>
        <w:pStyle w:val="Normal"/>
        <w:rPr/>
      </w:pPr>
      <w:r>
        <w:rPr/>
        <w:t>The materials provided by SCE in its Advice Letter filing are not comparable to those that the parties were able to review and debate in SDG&amp;E’s application.  SCE has not provided a valid proposal to the CEC, so we have no additional insights to offer to the CPUC about the nature of SCE’s proposed RTEM system.  Under these circumstances, we are concerned that the CPUC is being asked to provide a green light for SCE to deploy an RTEM system with no knowledge of its capabilities, no understanding of the technology of the proposed RTEM system, and no understanding of the capabilities that the RTEM system will provide for SCE or end-users.</w:t>
      </w:r>
    </w:p>
    <w:p>
      <w:pPr>
        <w:pStyle w:val="Normal"/>
        <w:rPr/>
      </w:pPr>
      <w:r>
        <w:rPr/>
      </w:r>
    </w:p>
    <w:p>
      <w:pPr>
        <w:pStyle w:val="Normal"/>
        <w:rPr/>
      </w:pPr>
      <w:r>
        <w:rPr/>
        <w:t>While SCE appears to ask merely for authority to create and use a memorandum account to track costs with no direct risk to ratepayers at this time, we believe that there is risk that the capabilities of the system SCE deploys will not provide the benefits that SCE suggests will occur and uses as the justification for the expedited approval it seeks.</w:t>
      </w:r>
    </w:p>
    <w:p>
      <w:pPr>
        <w:pStyle w:val="Normal"/>
        <w:rPr/>
      </w:pPr>
      <w:r>
        <w:rPr/>
      </w:r>
    </w:p>
    <w:p>
      <w:pPr>
        <w:pStyle w:val="Normal"/>
        <w:rPr>
          <w:u w:val="single"/>
        </w:rPr>
      </w:pPr>
      <w:r>
        <w:rPr>
          <w:u w:val="single"/>
        </w:rPr>
        <w:t>CEC Proposed Changes</w:t>
      </w:r>
    </w:p>
    <w:p>
      <w:pPr>
        <w:pStyle w:val="Normal"/>
        <w:rPr/>
      </w:pPr>
      <w:r>
        <w:rPr/>
      </w:r>
    </w:p>
    <w:p>
      <w:pPr>
        <w:pStyle w:val="Normal"/>
        <w:rPr/>
      </w:pPr>
      <w:r>
        <w:rPr/>
        <w:t>The CEC filed its preferred approach to resolving whether SCE acquiring an RTEM system with appropriate capabilities, for the least cost, and under the most rapid deployment in its comments on the ALJ proposed Decisions and Alternative of President Lynch in A.00-11-038 et al, which resulted in D.01-05-064.  We summarize those recommendations here, and provide a copy of our comments as an attachment to this protest.</w:t>
      </w:r>
    </w:p>
    <w:p>
      <w:pPr>
        <w:pStyle w:val="Normal"/>
        <w:rPr/>
      </w:pPr>
      <w:r>
        <w:rPr/>
      </w:r>
    </w:p>
    <w:p>
      <w:pPr>
        <w:pStyle w:val="Normal"/>
        <w:rPr/>
      </w:pPr>
      <w:r>
        <w:rPr/>
        <w:t>The CEC recommends that:</w:t>
      </w:r>
    </w:p>
    <w:p>
      <w:pPr>
        <w:pStyle w:val="Normal"/>
        <w:rPr/>
      </w:pPr>
      <w:r>
        <w:rPr/>
      </w:r>
    </w:p>
    <w:p>
      <w:pPr>
        <w:pStyle w:val="BodyTextIndent"/>
        <w:numPr>
          <w:ilvl w:val="0"/>
          <w:numId w:val="2"/>
        </w:numPr>
        <w:rPr/>
      </w:pPr>
      <w:r>
        <w:rPr/>
        <w:t>The CPUC should immediately direct SCE to conduct an expedited RFP to solicit bids from vendors for an RTEM system that meets the requirements that the CEC established for ABX1 29 RTEM projects.</w:t>
      </w:r>
    </w:p>
    <w:p>
      <w:pPr>
        <w:pStyle w:val="Normal"/>
        <w:ind w:start="720" w:end="0"/>
        <w:rPr/>
      </w:pPr>
      <w:r>
        <w:rPr/>
      </w:r>
    </w:p>
    <w:p>
      <w:pPr>
        <w:pStyle w:val="Normal"/>
        <w:numPr>
          <w:ilvl w:val="0"/>
          <w:numId w:val="2"/>
        </w:numPr>
        <w:rPr/>
      </w:pPr>
      <w:r>
        <w:rPr/>
        <w:t>SCE should provide the three least cost bids to the CPUC along with the comparable costs for its own internal system.  Each package should include the capabilities of the system, its ability to support various Real Time Pricing tariffs and demand responsiveness programs, the timeline for its deployment, and its ability to be expanded to other Utility Distribution Company end-users.</w:t>
      </w:r>
    </w:p>
    <w:p>
      <w:pPr>
        <w:pStyle w:val="Normal"/>
        <w:ind w:start="720" w:end="0"/>
        <w:rPr/>
      </w:pPr>
      <w:r>
        <w:rPr/>
      </w:r>
    </w:p>
    <w:p>
      <w:pPr>
        <w:pStyle w:val="Normal"/>
        <w:numPr>
          <w:ilvl w:val="0"/>
          <w:numId w:val="2"/>
        </w:numPr>
        <w:rPr/>
      </w:pPr>
      <w:r>
        <w:rPr/>
        <w:t>Using this information, the CPUC should immediately authorize SCE to proceed to select and deploy the system with the greatest benefits for the dollar of capital and operating costs.</w:t>
      </w:r>
    </w:p>
    <w:p>
      <w:pPr>
        <w:pStyle w:val="Normal"/>
        <w:ind w:start="720" w:end="0"/>
        <w:rPr/>
      </w:pPr>
      <w:r>
        <w:rPr/>
      </w:r>
    </w:p>
    <w:p>
      <w:pPr>
        <w:pStyle w:val="Normal"/>
        <w:numPr>
          <w:ilvl w:val="0"/>
          <w:numId w:val="2"/>
        </w:numPr>
        <w:rPr/>
      </w:pPr>
      <w:r>
        <w:rPr/>
        <w:t>The CPUC should authorize creation of a memorandum account with greater oversight to track the total costs of this system, with entries to record both funds received from the CEC under ABX1 29 or SBX1 5 and SCE’s costs.</w:t>
      </w:r>
    </w:p>
    <w:p>
      <w:pPr>
        <w:pStyle w:val="Normal"/>
        <w:rPr/>
      </w:pPr>
      <w:r>
        <w:rPr/>
      </w:r>
    </w:p>
    <w:p>
      <w:pPr>
        <w:pStyle w:val="Normal"/>
        <w:rPr/>
      </w:pPr>
      <w:r>
        <w:rPr/>
        <w:t>By following these steps the CPUC will be in a better position to later judge the reasonableness of expenditures that go beyond what the CEC has actually provided to SCE, rather than what SCE asserts will be provided.  Following these steps will also ensure that SCE selects and deploys a RTEM system that best meets the requirements for RTEM system funded by ABX1 29.</w:t>
      </w:r>
    </w:p>
    <w:p>
      <w:pPr>
        <w:pStyle w:val="Normal"/>
        <w:rPr/>
      </w:pPr>
      <w:r>
        <w:rPr/>
      </w:r>
    </w:p>
    <w:p>
      <w:pPr>
        <w:pStyle w:val="Normal"/>
        <w:rPr/>
      </w:pPr>
      <w:r>
        <w:rPr/>
        <w:t>Under these alternative conditions, we believe that SCE may follow PG&amp;E’s example by selecting an outsourced system to provide the RTEM capabilities the CEC requires for ABX1 29 funds and at a cost more like PG&amp;E’s $1,742 per meter point.  This will greatly reduce the apparent costs to ratepayers of the RTEM system that SCE indicates in Advice Letter 1549-E will cost about $3,700 per meter point.</w:t>
      </w:r>
    </w:p>
    <w:p>
      <w:pPr>
        <w:pStyle w:val="Normal"/>
        <w:rPr/>
      </w:pPr>
      <w:r>
        <w:rPr/>
      </w:r>
    </w:p>
    <w:p>
      <w:pPr>
        <w:pStyle w:val="Normal"/>
        <w:rPr/>
      </w:pPr>
      <w:r>
        <w:rPr/>
      </w:r>
    </w:p>
    <w:p>
      <w:pPr>
        <w:pStyle w:val="Normal"/>
        <w:rPr/>
      </w:pPr>
      <w:r>
        <w:rPr/>
      </w:r>
    </w:p>
    <w:p>
      <w:pPr>
        <w:pStyle w:val="Normal"/>
        <w:rPr/>
      </w:pPr>
      <w:r>
        <w:rPr/>
        <w:tab/>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Jennifer Tachera</w:t>
      </w:r>
    </w:p>
    <w:p>
      <w:pPr>
        <w:pStyle w:val="Normal"/>
        <w:rPr/>
      </w:pPr>
      <w:r>
        <w:rPr/>
        <w:tab/>
        <w:tab/>
        <w:tab/>
        <w:tab/>
        <w:tab/>
        <w:tab/>
        <w:tab/>
        <w:t>Staff Attorney</w:t>
      </w:r>
    </w:p>
    <w:p>
      <w:pPr>
        <w:pStyle w:val="Normal"/>
        <w:rPr/>
      </w:pPr>
      <w:r>
        <w:rPr/>
        <w:tab/>
        <w:tab/>
        <w:tab/>
        <w:tab/>
        <w:tab/>
        <w:tab/>
        <w:tab/>
        <w:t>California Energy Commission</w:t>
      </w:r>
    </w:p>
    <w:p>
      <w:pPr>
        <w:pStyle w:val="Normal"/>
        <w:rPr/>
      </w:pPr>
      <w:r>
        <w:rPr/>
        <w:t>Cc:</w:t>
        <w:tab/>
        <w:t>Paul Clanon, Director</w:t>
      </w:r>
    </w:p>
    <w:p>
      <w:pPr>
        <w:pStyle w:val="Normal"/>
        <w:rPr/>
      </w:pPr>
      <w:r>
        <w:rPr/>
        <w:tab/>
        <w:t>Energy Division</w:t>
      </w:r>
    </w:p>
    <w:p>
      <w:pPr>
        <w:pStyle w:val="Normal"/>
        <w:ind w:firstLine="720" w:end="0"/>
        <w:rPr/>
      </w:pPr>
      <w:r>
        <w:rPr/>
        <w:t>California Public Utilities Commission</w:t>
      </w:r>
    </w:p>
    <w:p>
      <w:pPr>
        <w:pStyle w:val="Normal"/>
        <w:ind w:firstLine="720" w:end="0"/>
        <w:rPr/>
      </w:pPr>
      <w:r>
        <w:rPr/>
      </w:r>
    </w:p>
    <w:p>
      <w:pPr>
        <w:pStyle w:val="Normal"/>
        <w:ind w:firstLine="720" w:end="0"/>
        <w:rPr/>
      </w:pPr>
      <w:r>
        <w:rPr/>
        <w:t>Akbar Jazayeri</w:t>
      </w:r>
    </w:p>
    <w:p>
      <w:pPr>
        <w:pStyle w:val="Normal"/>
        <w:ind w:firstLine="720" w:end="0"/>
        <w:rPr/>
      </w:pPr>
      <w:r>
        <w:rPr/>
        <w:t>Director of Revenue and Tariffs</w:t>
      </w:r>
    </w:p>
    <w:p>
      <w:pPr>
        <w:pStyle w:val="Normal"/>
        <w:ind w:firstLine="720" w:end="0"/>
        <w:rPr/>
      </w:pPr>
      <w:r>
        <w:rPr/>
        <w:t xml:space="preserve">California Public Utilities Commission </w:t>
      </w:r>
    </w:p>
    <w:p>
      <w:pPr>
        <w:pStyle w:val="Normal"/>
        <w:ind w:firstLine="720" w:end="0"/>
        <w:rPr/>
      </w:pPr>
      <w:r>
        <w:rPr/>
      </w:r>
    </w:p>
    <w:p>
      <w:pPr>
        <w:pStyle w:val="Normal"/>
        <w:ind w:firstLine="720" w:end="0"/>
        <w:rPr/>
      </w:pPr>
      <w:r>
        <w:rPr/>
        <w:t>Bruce Foster</w:t>
      </w:r>
    </w:p>
    <w:p>
      <w:pPr>
        <w:pStyle w:val="Normal"/>
        <w:ind w:firstLine="720" w:end="0"/>
        <w:rPr/>
      </w:pPr>
      <w:r>
        <w:rPr/>
        <w:t>Vice President of Regulatory Operations</w:t>
      </w:r>
    </w:p>
    <w:p>
      <w:pPr>
        <w:pStyle w:val="Normal"/>
        <w:ind w:firstLine="720" w:end="0"/>
        <w:rPr/>
      </w:pPr>
      <w:r>
        <w:rPr/>
        <w:t xml:space="preserve">California Public Utilities Commission </w:t>
        <w:b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Kevin Coughlan</w:t>
    </w:r>
  </w:p>
  <w:p>
    <w:pPr>
      <w:pStyle w:val="Normal"/>
      <w:rPr/>
    </w:pPr>
    <w:r>
      <w:rPr/>
      <w:t>June 4, 2001</w:t>
    </w:r>
  </w:p>
  <w:p>
    <w:pPr>
      <w:pStyle w:val="Normal"/>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Normal"/>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rFonts w:ascii="Times New Roman" w:hAnsi="Times New Roman" w:cs="Times New Roman"/>
        <w:sz w:val="20"/>
        <w:lang w:val="en-CA"/>
      </w:rPr>
    </w:pPr>
    <w:r>
      <w:rPr>
        <w:rFonts w:cs="Times New Roman" w:ascii="Times New Roman" w:hAnsi="Times New Roman"/>
        <w:sz w:val="20"/>
        <w:lang w:val="en-CA"/>
      </w:rPr>
      <mc:AlternateContent>
        <mc:Choice Requires="wpg">
          <w:drawing>
            <wp:anchor behindDoc="1" distT="0" distB="0" distL="114935" distR="114935" simplePos="0" locked="0" layoutInCell="1" allowOverlap="1" relativeHeight="2">
              <wp:simplePos x="0" y="0"/>
              <wp:positionH relativeFrom="column">
                <wp:posOffset>-640080</wp:posOffset>
              </wp:positionH>
              <wp:positionV relativeFrom="paragraph">
                <wp:posOffset>-274320</wp:posOffset>
              </wp:positionV>
              <wp:extent cx="7224395" cy="740410"/>
              <wp:effectExtent l="0" t="0" r="0" b="0"/>
              <wp:wrapNone/>
              <wp:docPr id="1" name=""/>
              <a:graphic xmlns:a="http://schemas.openxmlformats.org/drawingml/2006/main">
                <a:graphicData uri="http://schemas.microsoft.com/office/word/2010/wordprocessingGroup">
                  <wpg:wgp>
                    <wpg:cNvGrpSpPr/>
                    <wpg:grpSpPr>
                      <a:xfrm>
                        <a:off x="0" y="0"/>
                        <a:ext cx="7224480" cy="740520"/>
                        <a:chOff x="0" y="0"/>
                        <a:chExt cx="7224480" cy="740520"/>
                      </a:xfrm>
                    </wpg:grpSpPr>
                    <wps:wsp>
                      <wps:cNvSpPr txBox="1"/>
                      <wps:spPr>
                        <a:xfrm>
                          <a:off x="0" y="0"/>
                          <a:ext cx="7224480" cy="692280"/>
                        </a:xfrm>
                        <a:prstGeom prst="rect">
                          <a:avLst/>
                        </a:prstGeom>
                        <a:noFill/>
                        <a:ln w="0">
                          <a:noFill/>
                        </a:ln>
                      </wps:spPr>
                      <wps:txbx>
                        <w:txbxContent>
                          <w:p>
                            <w:pPr>
                              <w:tabs>
                                <w:tab w:val="right" w:pos="11340" w:leader="none"/>
                              </w:tabs>
                              <w:overflowPunct w:val="false"/>
                              <w:bidi w:val="0"/>
                              <w:spacing w:before="0" w:after="80" w:lineRule="exact" w:line="240"/>
                              <w:rPr/>
                            </w:pPr>
                            <w:r>
                              <w:rPr>
                                <w:kern w:val="2"/>
                                <w:sz w:val="14"/>
                                <w:szCs w:val="20"/>
                                <w:rFonts w:ascii="Arial" w:hAnsi="Arial" w:eastAsia="Times New Roman" w:cs="Arial"/>
                                <w:color w:val="0000FF"/>
                                <w:lang w:val="en-US"/>
                              </w:rPr>
                              <w:t>STATE  OF  CALIFORNIA       THE  RESOURCES  AGENCY</w:t>
                            </w:r>
                            <w:r>
                              <w:rPr>
                                <w:kern w:val="2"/>
                                <w:sz w:val="14"/>
                                <w:szCs w:val="20"/>
                                <w:rFonts w:ascii="Arial" w:hAnsi="Arial" w:eastAsia="Times New Roman" w:cs="Arial"/>
                                <w:color w:val="0000FF"/>
                                <w:lang w:val="en-US"/>
                              </w:rPr>
                            </w:r>
                            <w:r>
                              <w:rPr>
                                <w:kern w:val="2"/>
                                <w:sz w:val="14"/>
                                <w:szCs w:val="20"/>
                                <w:caps/>
                                <w:rFonts w:ascii="Arial" w:hAnsi="Arial" w:eastAsia="Times New Roman" w:cs="Arial"/>
                                <w:color w:val="0000FF"/>
                                <w:lang w:val="en-US"/>
                              </w:rPr>
                              <w:t>Gray Davis</w:t>
                            </w:r>
                            <w:r>
                              <w:rPr>
                                <w:kern w:val="2"/>
                                <w:sz w:val="14"/>
                                <w:szCs w:val="20"/>
                                <w:rFonts w:ascii="Arial" w:hAnsi="Arial" w:eastAsia="Times New Roman" w:cs="Arial"/>
                                <w:color w:val="0000FF"/>
                                <w:lang w:val="en-US"/>
                              </w:rPr>
                              <w:t xml:space="preserve">,  </w:t>
                            </w:r>
                            <w:r>
                              <w:rPr>
                                <w:kern w:val="2"/>
                                <w:sz w:val="14"/>
                                <w:szCs w:val="20"/>
                                <w:i/>
                                <w:rFonts w:ascii="Arial" w:hAnsi="Arial" w:eastAsia="Times New Roman" w:cs="Arial"/>
                                <w:color w:val="0000FF"/>
                                <w:lang w:val="en-US"/>
                              </w:rPr>
                              <w:t>Governor</w:t>
                            </w:r>
                          </w:p>
                          <w:p>
                            <w:pPr>
                              <w:tabs>
                                <w:tab w:val="right" w:pos="10800" w:leader="none"/>
                              </w:tabs>
                              <w:overflowPunct w:val="false"/>
                              <w:bidi w:val="0"/>
                              <w:spacing w:before="60" w:after="0" w:lineRule="exact" w:line="280"/>
                              <w:rPr/>
                            </w:pPr>
                            <w:r>
                              <w:rPr>
                                <w:kern w:val="2"/>
                                <w:sz w:val="24"/>
                                <w:szCs w:val="20"/>
                                <w:rFonts w:ascii="Arial" w:hAnsi="Arial" w:eastAsia="Times New Roman" w:cs="Arial"/>
                                <w:color w:val="0000FF"/>
                                <w:lang w:val="en-US"/>
                              </w:rPr>
                              <w:t>CALIFORNIA ENERGY COMMISSION</w:t>
                            </w:r>
                          </w:p>
                          <w:p>
                            <w:pPr>
                              <w:tabs>
                                <w:tab w:val="right" w:pos="10800" w:leader="none"/>
                              </w:tabs>
                              <w:overflowPunct w:val="false"/>
                              <w:bidi w:val="0"/>
                              <w:spacing w:lineRule="exact" w:line="200"/>
                              <w:rPr/>
                            </w:pPr>
                            <w:r>
                              <w:rPr>
                                <w:kern w:val="2"/>
                                <w:sz w:val="14"/>
                                <w:szCs w:val="20"/>
                                <w:rFonts w:ascii="Arial" w:hAnsi="Arial" w:eastAsia="Times New Roman" w:cs="Arial"/>
                                <w:color w:val="0000FF"/>
                                <w:lang w:val="en-US"/>
                              </w:rPr>
                              <w:t>1516  NINTH  STREET</w:t>
                            </w:r>
                          </w:p>
                          <w:p>
                            <w:pPr>
                              <w:tabs>
                                <w:tab w:val="right" w:pos="10800" w:leader="none"/>
                              </w:tabs>
                              <w:overflowPunct w:val="false"/>
                              <w:bidi w:val="0"/>
                              <w:spacing w:lineRule="exact" w:line="200"/>
                              <w:rPr/>
                            </w:pPr>
                            <w:r>
                              <w:rPr>
                                <w:kern w:val="2"/>
                                <w:sz w:val="14"/>
                                <w:szCs w:val="20"/>
                                <w:rFonts w:ascii="Arial" w:hAnsi="Arial" w:eastAsia="Times New Roman" w:cs="Arial"/>
                                <w:color w:val="0000FF"/>
                                <w:lang w:val="en-US"/>
                              </w:rPr>
                              <w:t>SACRAMENTO, CA   95814-5512</w:t>
                            </w:r>
                          </w:p>
                          <w:p>
                            <w:pPr>
                              <w:tabs>
                                <w:tab w:val="right" w:pos="10800" w:leader="none"/>
                              </w:tabs>
                              <w:overflowPunct w:val="false"/>
                              <w:bidi w:val="0"/>
                              <w:rPr/>
                            </w:pPr>
                            <w:r>
                              <w:rPr>
                                <w:szCs w:val="24"/>
                                <w:kern w:val="2"/>
                                <w:rFonts w:cs="NotoSans NF" w:eastAsia="Liberation Sans" w:ascii="Liberation Serif" w:hAnsi="Liberation Serif"/>
                                <w:lang w:val="en-CA"/>
                              </w:rPr>
                            </w:r>
                          </w:p>
                        </w:txbxContent>
                      </wps:txbx>
                      <wps:bodyPr wrap="square" lIns="12600" rIns="12600" tIns="12600" bIns="12600" anchor="t">
                        <a:noAutofit/>
                      </wps:bodyPr>
                    </wps:wsp>
                    <wps:wsp>
                      <wps:cNvSpPr/>
                      <wps:spPr>
                        <a:xfrm>
                          <a:off x="1103040" y="106560"/>
                          <a:ext cx="99720" cy="0"/>
                        </a:xfrm>
                        <a:prstGeom prst="line">
                          <a:avLst/>
                        </a:prstGeom>
                        <a:ln w="3240">
                          <a:solidFill>
                            <a:srgbClr val="000000"/>
                          </a:solidFill>
                          <a:miter/>
                        </a:ln>
                      </wps:spPr>
                      <wps:style>
                        <a:lnRef idx="0"/>
                        <a:fillRef idx="0"/>
                        <a:effectRef idx="0"/>
                        <a:fontRef idx="minor"/>
                      </wps:style>
                      <wps:bodyPr/>
                    </wps:wsp>
                    <wps:wsp>
                      <wps:cNvSpPr/>
                      <wps:spPr>
                        <a:xfrm flipV="1">
                          <a:off x="21600" y="170640"/>
                          <a:ext cx="7164000" cy="1440"/>
                        </a:xfrm>
                        <a:prstGeom prst="line">
                          <a:avLst/>
                        </a:prstGeom>
                        <a:ln w="3240">
                          <a:solidFill>
                            <a:srgbClr val="000000"/>
                          </a:solidFill>
                          <a:miter/>
                        </a:ln>
                      </wps:spPr>
                      <wps:style>
                        <a:lnRef idx="0"/>
                        <a:fillRef idx="0"/>
                        <a:effectRef idx="0"/>
                        <a:fontRef idx="minor"/>
                      </wps:style>
                      <wps:bodyPr/>
                    </wps:wsp>
                    <pic:pic xmlns:pic="http://schemas.openxmlformats.org/drawingml/2006/picture">
                      <pic:nvPicPr>
                        <pic:cNvPr id="2" name="" descr=""/>
                        <pic:cNvPicPr/>
                      </pic:nvPicPr>
                      <pic:blipFill>
                        <a:blip r:embed="rId1"/>
                        <a:stretch/>
                      </pic:blipFill>
                      <pic:spPr>
                        <a:xfrm>
                          <a:off x="6684120" y="247680"/>
                          <a:ext cx="512280" cy="492840"/>
                        </a:xfrm>
                        <a:prstGeom prst="rect">
                          <a:avLst/>
                        </a:prstGeom>
                        <a:noFill/>
                        <a:ln w="0">
                          <a:noFill/>
                        </a:ln>
                      </pic:spPr>
                    </pic:pic>
                    <wps:wsp>
                      <wps:cNvSpPr/>
                      <wps:spPr>
                        <a:xfrm>
                          <a:off x="20880" y="194400"/>
                          <a:ext cx="7164720" cy="0"/>
                        </a:xfrm>
                        <a:prstGeom prst="line">
                          <a:avLst/>
                        </a:prstGeom>
                        <a:ln w="3240">
                          <a:solidFill>
                            <a:srgbClr val="000000"/>
                          </a:solidFill>
                          <a:miter/>
                        </a:ln>
                      </wps:spPr>
                      <wps:style>
                        <a:lnRef idx="0"/>
                        <a:fillRef idx="0"/>
                        <a:effectRef idx="0"/>
                        <a:fontRef idx="minor"/>
                      </wps:style>
                      <wps:bodyPr/>
                    </wps:wsp>
                  </wpg:wgp>
                </a:graphicData>
              </a:graphic>
            </wp:anchor>
          </w:drawing>
        </mc:Choice>
        <mc:Fallback>
          <w:pict>
            <v:group id="shape_0" style="position:absolute;margin-left:-50.4pt;margin-top:-21.6pt;width:568.85pt;height:58.3pt" coordorigin="-1008,-432" coordsize="11377,1166">
              <v:shapetype id="_x0000_t202" coordsize="21600,21600" o:spt="202" path="m,l,21600l21600,21600l21600,xe">
                <v:stroke joinstyle="miter"/>
                <v:path gradientshapeok="t" o:connecttype="rect"/>
              </v:shapetype>
              <v:shape id="shape_0" stroked="f" o:allowincell="f" style="position:absolute;left:-1008;top:-432;width:11376;height:1089;mso-wrap-style:square;v-text-anchor:top" type="_x0000_t202">
                <v:textbox>
                  <w:txbxContent>
                    <w:p>
                      <w:pPr>
                        <w:tabs>
                          <w:tab w:val="right" w:pos="11340" w:leader="none"/>
                        </w:tabs>
                        <w:overflowPunct w:val="false"/>
                        <w:bidi w:val="0"/>
                        <w:spacing w:before="0" w:after="80" w:lineRule="exact" w:line="240"/>
                        <w:rPr/>
                      </w:pPr>
                      <w:r>
                        <w:rPr>
                          <w:kern w:val="2"/>
                          <w:sz w:val="14"/>
                          <w:szCs w:val="20"/>
                          <w:rFonts w:ascii="Arial" w:hAnsi="Arial" w:eastAsia="Times New Roman" w:cs="Arial"/>
                          <w:color w:val="0000FF"/>
                          <w:lang w:val="en-US"/>
                        </w:rPr>
                        <w:t>STATE  OF  CALIFORNIA       THE  RESOURCES  AGENCY</w:t>
                      </w:r>
                      <w:r>
                        <w:rPr>
                          <w:kern w:val="2"/>
                          <w:sz w:val="14"/>
                          <w:szCs w:val="20"/>
                          <w:rFonts w:ascii="Arial" w:hAnsi="Arial" w:eastAsia="Times New Roman" w:cs="Arial"/>
                          <w:color w:val="0000FF"/>
                          <w:lang w:val="en-US"/>
                        </w:rPr>
                      </w:r>
                      <w:r>
                        <w:rPr>
                          <w:kern w:val="2"/>
                          <w:sz w:val="14"/>
                          <w:szCs w:val="20"/>
                          <w:caps/>
                          <w:rFonts w:ascii="Arial" w:hAnsi="Arial" w:eastAsia="Times New Roman" w:cs="Arial"/>
                          <w:color w:val="0000FF"/>
                          <w:lang w:val="en-US"/>
                        </w:rPr>
                        <w:t>Gray Davis</w:t>
                      </w:r>
                      <w:r>
                        <w:rPr>
                          <w:kern w:val="2"/>
                          <w:sz w:val="14"/>
                          <w:szCs w:val="20"/>
                          <w:rFonts w:ascii="Arial" w:hAnsi="Arial" w:eastAsia="Times New Roman" w:cs="Arial"/>
                          <w:color w:val="0000FF"/>
                          <w:lang w:val="en-US"/>
                        </w:rPr>
                        <w:t xml:space="preserve">,  </w:t>
                      </w:r>
                      <w:r>
                        <w:rPr>
                          <w:kern w:val="2"/>
                          <w:sz w:val="14"/>
                          <w:szCs w:val="20"/>
                          <w:i/>
                          <w:rFonts w:ascii="Arial" w:hAnsi="Arial" w:eastAsia="Times New Roman" w:cs="Arial"/>
                          <w:color w:val="0000FF"/>
                          <w:lang w:val="en-US"/>
                        </w:rPr>
                        <w:t>Governor</w:t>
                      </w:r>
                    </w:p>
                    <w:p>
                      <w:pPr>
                        <w:tabs>
                          <w:tab w:val="right" w:pos="10800" w:leader="none"/>
                        </w:tabs>
                        <w:overflowPunct w:val="false"/>
                        <w:bidi w:val="0"/>
                        <w:spacing w:before="60" w:after="0" w:lineRule="exact" w:line="280"/>
                        <w:rPr/>
                      </w:pPr>
                      <w:r>
                        <w:rPr>
                          <w:kern w:val="2"/>
                          <w:sz w:val="24"/>
                          <w:szCs w:val="20"/>
                          <w:rFonts w:ascii="Arial" w:hAnsi="Arial" w:eastAsia="Times New Roman" w:cs="Arial"/>
                          <w:color w:val="0000FF"/>
                          <w:lang w:val="en-US"/>
                        </w:rPr>
                        <w:t>CALIFORNIA ENERGY COMMISSION</w:t>
                      </w:r>
                    </w:p>
                    <w:p>
                      <w:pPr>
                        <w:tabs>
                          <w:tab w:val="right" w:pos="10800" w:leader="none"/>
                        </w:tabs>
                        <w:overflowPunct w:val="false"/>
                        <w:bidi w:val="0"/>
                        <w:spacing w:lineRule="exact" w:line="200"/>
                        <w:rPr/>
                      </w:pPr>
                      <w:r>
                        <w:rPr>
                          <w:kern w:val="2"/>
                          <w:sz w:val="14"/>
                          <w:szCs w:val="20"/>
                          <w:rFonts w:ascii="Arial" w:hAnsi="Arial" w:eastAsia="Times New Roman" w:cs="Arial"/>
                          <w:color w:val="0000FF"/>
                          <w:lang w:val="en-US"/>
                        </w:rPr>
                        <w:t>1516  NINTH  STREET</w:t>
                      </w:r>
                    </w:p>
                    <w:p>
                      <w:pPr>
                        <w:tabs>
                          <w:tab w:val="right" w:pos="10800" w:leader="none"/>
                        </w:tabs>
                        <w:overflowPunct w:val="false"/>
                        <w:bidi w:val="0"/>
                        <w:spacing w:lineRule="exact" w:line="200"/>
                        <w:rPr/>
                      </w:pPr>
                      <w:r>
                        <w:rPr>
                          <w:kern w:val="2"/>
                          <w:sz w:val="14"/>
                          <w:szCs w:val="20"/>
                          <w:rFonts w:ascii="Arial" w:hAnsi="Arial" w:eastAsia="Times New Roman" w:cs="Arial"/>
                          <w:color w:val="0000FF"/>
                          <w:lang w:val="en-US"/>
                        </w:rPr>
                        <w:t>SACRAMENTO, CA   95814-5512</w:t>
                      </w:r>
                    </w:p>
                    <w:p>
                      <w:pPr>
                        <w:tabs>
                          <w:tab w:val="right" w:pos="10800" w:leader="none"/>
                        </w:tabs>
                        <w:overflowPunct w:val="false"/>
                        <w:bidi w:val="0"/>
                        <w:rPr/>
                      </w:pPr>
                      <w:r>
                        <w:rPr>
                          <w:szCs w:val="24"/>
                          <w:kern w:val="2"/>
                          <w:rFonts w:cs="NotoSans NF" w:eastAsia="Liberation Sans" w:ascii="Liberation Serif" w:hAnsi="Liberation Serif"/>
                          <w:lang w:val="en-CA"/>
                        </w:rPr>
                      </w:r>
                    </w:p>
                  </w:txbxContent>
                </v:textbox>
                <v:fill o:detectmouseclick="t" on="false"/>
                <v:stroke color="#3465a4" joinstyle="round" endcap="flat"/>
                <w10:wrap type="none"/>
              </v:shape>
              <v:line id="shape_0" from="729,-264" to="885,-264" stroked="t" o:allowincell="f" style="position:absolute">
                <v:stroke color="black" weight="3240" joinstyle="miter" endcap="flat"/>
                <v:fill o:detectmouseclick="t" on="false"/>
                <w10:wrap type="none"/>
              </v:line>
              <v:line id="shape_0" from="-974,-163" to="10307,-162" stroked="t" o:allowincell="f" style="position:absolute;flip:y">
                <v:stroke color="black" weight="3240" joinstyle="miter" endcap="flat"/>
                <v:fill o:detectmouseclick="t" on="false"/>
                <w10:wrap type="non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518;top:-42;width:806;height:775;mso-wrap-style:none;v-text-anchor:middle" type="_x0000_t75">
                <v:imagedata r:id="rId2" o:detectmouseclick="t"/>
                <v:stroke color="#3465a4" joinstyle="round" endcap="flat"/>
                <w10:wrap type="none"/>
              </v:shape>
              <v:line id="shape_0" from="-975,-126" to="10307,-126" stroked="t" o:allowincell="f" style="position:absolute">
                <v:stroke color="black" weight="3240" joinstyle="miter" endcap="flat"/>
                <v:fill o:detectmouseclick="t" on="false"/>
                <w10:wrap type="none"/>
              </v:lin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360"/>
        </w:tabs>
        <w:ind w:start="360" w:hanging="360"/>
      </w:pPr>
    </w:lvl>
    <w:lvl w:ilvl="1">
      <w:start w:val="2"/>
      <w:isLgl/>
      <w:numFmt w:val="decimal"/>
      <w:lvlText w:val="%1.%2"/>
      <w:lvlJc w:val="start"/>
      <w:pPr>
        <w:tabs>
          <w:tab w:val="num" w:pos="2160"/>
        </w:tabs>
        <w:ind w:start="2160" w:hanging="720"/>
      </w:pPr>
      <w:rPr/>
    </w:lvl>
    <w:lvl w:ilvl="2">
      <w:start w:val="1"/>
      <w:isLgl/>
      <w:numFmt w:val="decimal"/>
      <w:lvlText w:val="%1.%2.%3"/>
      <w:lvlJc w:val="start"/>
      <w:pPr>
        <w:tabs>
          <w:tab w:val="num" w:pos="3600"/>
        </w:tabs>
        <w:ind w:start="3600" w:hanging="720"/>
      </w:pPr>
      <w:rPr/>
    </w:lvl>
    <w:lvl w:ilvl="3">
      <w:start w:val="1"/>
      <w:isLgl/>
      <w:numFmt w:val="decimal"/>
      <w:lvlText w:val="%1.%2.%3.%4"/>
      <w:lvlJc w:val="start"/>
      <w:pPr>
        <w:tabs>
          <w:tab w:val="num" w:pos="5400"/>
        </w:tabs>
        <w:ind w:start="5400" w:hanging="1080"/>
      </w:pPr>
      <w:rPr/>
    </w:lvl>
    <w:lvl w:ilvl="4">
      <w:start w:val="1"/>
      <w:isLgl/>
      <w:numFmt w:val="decimal"/>
      <w:lvlText w:val="%1.%2.%3.%4.%5"/>
      <w:lvlJc w:val="start"/>
      <w:pPr>
        <w:tabs>
          <w:tab w:val="num" w:pos="6840"/>
        </w:tabs>
        <w:ind w:start="6840" w:hanging="1080"/>
      </w:pPr>
      <w:rPr/>
    </w:lvl>
    <w:lvl w:ilvl="5">
      <w:start w:val="1"/>
      <w:isLgl/>
      <w:numFmt w:val="decimal"/>
      <w:lvlText w:val="%1.%2.%3.%4.%5.%6"/>
      <w:lvlJc w:val="start"/>
      <w:pPr>
        <w:tabs>
          <w:tab w:val="num" w:pos="8640"/>
        </w:tabs>
        <w:ind w:start="8640" w:hanging="1440"/>
      </w:pPr>
      <w:rPr/>
    </w:lvl>
    <w:lvl w:ilvl="6">
      <w:start w:val="1"/>
      <w:isLgl/>
      <w:numFmt w:val="decimal"/>
      <w:lvlText w:val="%1.%2.%3.%4.%5.%6.%7"/>
      <w:lvlJc w:val="start"/>
      <w:pPr>
        <w:tabs>
          <w:tab w:val="num" w:pos="10080"/>
        </w:tabs>
        <w:ind w:start="10080" w:hanging="1440"/>
      </w:pPr>
      <w:rPr/>
    </w:lvl>
    <w:lvl w:ilvl="7">
      <w:start w:val="1"/>
      <w:isLgl/>
      <w:numFmt w:val="decimal"/>
      <w:lvlText w:val="%1.%2.%3.%4.%5.%6.%7.%8"/>
      <w:lvlJc w:val="start"/>
      <w:pPr>
        <w:tabs>
          <w:tab w:val="num" w:pos="11880"/>
        </w:tabs>
        <w:ind w:start="11880" w:hanging="1800"/>
      </w:pPr>
      <w:rPr/>
    </w:lvl>
    <w:lvl w:ilvl="8">
      <w:start w:val="1"/>
      <w:isLgl/>
      <w:numFmt w:val="decimal"/>
      <w:lvlText w:val="%1.%2.%3.%4.%5.%6.%7.%8.%9"/>
      <w:lvlJc w:val="start"/>
      <w:pPr>
        <w:tabs>
          <w:tab w:val="num" w:pos="13320"/>
        </w:tabs>
        <w:ind w:start="1332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lang w:eastAsia="en-US"/>
    </w:rPr>
  </w:style>
  <w:style w:type="paragraph" w:styleId="Heading2">
    <w:name w:val="heading 2"/>
    <w:basedOn w:val="Normal"/>
    <w:next w:val="Normal"/>
    <w:qFormat/>
    <w:pPr>
      <w:keepNext w:val="true"/>
      <w:numPr>
        <w:ilvl w:val="1"/>
        <w:numId w:val="1"/>
      </w:numPr>
      <w:outlineLvl w:val="1"/>
    </w:pPr>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1">
    <w:name w:val="WW8Num6z1"/>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losing">
    <w:name w:val="Closing"/>
    <w:basedOn w:val="Normal"/>
    <w:qFormat/>
    <w:pPr>
      <w:spacing w:lineRule="atLeast" w:line="220"/>
      <w:ind w:hanging="0" w:start="835" w:end="0"/>
    </w:pPr>
    <w:rPr>
      <w:rFonts w:ascii="Times New Roman" w:hAnsi="Times New Roman" w:cs="Times New Roman"/>
      <w:sz w:val="20"/>
      <w:lang w:eastAsia="en-US"/>
    </w:rPr>
  </w:style>
  <w:style w:type="paragraph" w:styleId="BodyTextIndent">
    <w:name w:val="Body Text Indent"/>
    <w:basedOn w:val="Normal"/>
    <w:pPr>
      <w:ind w:hanging="0" w:start="720" w:end="0"/>
    </w:pPr>
    <w:rPr>
      <w:lang w:eastAsia="en-US"/>
    </w:rPr>
  </w:style>
  <w:style w:type="paragraph" w:styleId="BodyTextIndent2">
    <w:name w:val="Body Text Indent 2"/>
    <w:basedOn w:val="Normal"/>
    <w:qFormat/>
    <w:pPr>
      <w:ind w:hanging="360" w:start="1080" w:end="0"/>
    </w:pPr>
    <w:rPr/>
  </w:style>
  <w:style w:type="paragraph" w:styleId="BodyTextIndent3">
    <w:name w:val="Body Text Indent 3"/>
    <w:basedOn w:val="Normal"/>
    <w:qFormat/>
    <w:pPr>
      <w:tabs>
        <w:tab w:val="clear" w:pos="720"/>
        <w:tab w:val="left" w:pos="216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CECLTRHD.doc</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2001-06-04T16:02:00Z</dcterms:created>
  <dc:creator>Jennifer Tachera</dc:creator>
  <dc:description/>
  <dc:language>en-CA</dc:language>
  <cp:lastModifiedBy>Jennifer Tachera</cp:lastModifiedBy>
  <cp:lastPrinted>2001-06-04T14:37:00Z</cp:lastPrinted>
  <dcterms:modified xsi:type="dcterms:W3CDTF">2001-06-04T16:27:00Z</dcterms:modified>
  <cp:revision>1</cp:revision>
  <dc:subject/>
  <dc:title> </dc:title>
</cp:coreProperties>
</file>