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ain"/>
        <w:rPr>
          <w:rFonts w:ascii="Arial" w:hAnsi="Arial" w:cs="Arial"/>
          <w:color w:val="000000"/>
          <w:sz w:val="24"/>
          <w:lang w:val="en-US"/>
        </w:rPr>
      </w:pPr>
      <w:r>
        <w:rPr>
          <w:rFonts w:cs="Arial" w:ascii="Arial" w:hAnsi="Arial"/>
          <w:color w:val="000000"/>
          <w:sz w:val="24"/>
          <w:lang w:val="en-US"/>
        </w:rPr>
        <w:t xml:space="preserve">BEFORE THE PUBLIC UTILITIES COMMISSION </w:t>
      </w:r>
    </w:p>
    <w:p>
      <w:pPr>
        <w:pStyle w:val="main"/>
        <w:rPr>
          <w:rFonts w:ascii="Arial" w:hAnsi="Arial" w:cs="Arial"/>
          <w:color w:val="000000"/>
          <w:sz w:val="24"/>
          <w:lang w:val="en-US"/>
        </w:rPr>
      </w:pPr>
      <w:r>
        <w:rPr>
          <w:rFonts w:cs="Arial" w:ascii="Arial" w:hAnsi="Arial"/>
          <w:color w:val="000000"/>
          <w:sz w:val="24"/>
          <w:lang w:val="en-US"/>
        </w:rPr>
        <w:t>OF THE STATE OF CALIFORNIA</w:t>
      </w:r>
    </w:p>
    <w:p>
      <w:pPr>
        <w:pStyle w:val="Header"/>
        <w:widowControl/>
        <w:tabs>
          <w:tab w:val="clear" w:pos="4320"/>
          <w:tab w:val="clear" w:pos="8640"/>
        </w:tabs>
        <w:rPr>
          <w:rFonts w:ascii="Arial" w:hAnsi="Arial" w:cs="Arial"/>
          <w:color w:val="000000"/>
          <w:sz w:val="24"/>
          <w:lang w:val="en-US"/>
        </w:rPr>
      </w:pPr>
      <w:r>
        <w:rPr>
          <w:rFonts w:cs="Arial" w:ascii="Arial" w:hAnsi="Arial"/>
          <w:color w:val="000000"/>
          <w:sz w:val="24"/>
          <w:lang w:val="en-US"/>
        </w:rPr>
      </w:r>
    </w:p>
    <w:p>
      <w:pPr>
        <w:pStyle w:val="Header"/>
        <w:widowControl/>
        <w:tabs>
          <w:tab w:val="clear" w:pos="4320"/>
          <w:tab w:val="clear" w:pos="8640"/>
        </w:tabs>
        <w:rPr>
          <w:rFonts w:ascii="Arial" w:hAnsi="Arial" w:cs="Arial"/>
          <w:color w:val="000000"/>
          <w:sz w:val="24"/>
          <w:lang w:val="en-US"/>
        </w:rPr>
      </w:pPr>
      <w:r>
        <w:rPr>
          <w:rFonts w:cs="Arial" w:ascii="Arial" w:hAnsi="Arial"/>
          <w:color w:val="000000"/>
          <w:sz w:val="24"/>
          <w:lang w:val="en-US"/>
        </w:rPr>
      </w:r>
    </w:p>
    <w:tbl>
      <w:tblPr>
        <w:tblW w:w="9245" w:type="dxa"/>
        <w:jc w:val="start"/>
        <w:tblInd w:w="0" w:type="dxa"/>
        <w:tblLayout w:type="fixed"/>
        <w:tblCellMar>
          <w:top w:w="0" w:type="dxa"/>
          <w:start w:w="0" w:type="dxa"/>
          <w:bottom w:w="0" w:type="dxa"/>
          <w:end w:w="0" w:type="dxa"/>
        </w:tblCellMar>
      </w:tblPr>
      <w:tblGrid>
        <w:gridCol w:w="5958"/>
        <w:gridCol w:w="3287"/>
      </w:tblGrid>
      <w:tr>
        <w:trPr/>
        <w:tc>
          <w:tcPr>
            <w:tcW w:w="5958" w:type="dxa"/>
            <w:tcBorders>
              <w:bottom w:val="single" w:sz="6" w:space="0" w:color="000000"/>
              <w:end w:val="single" w:sz="6" w:space="0" w:color="000000"/>
            </w:tcBorders>
          </w:tcPr>
          <w:p>
            <w:pPr>
              <w:pStyle w:val="Normal"/>
              <w:rPr>
                <w:color w:val="000000"/>
              </w:rPr>
            </w:pPr>
            <w:r>
              <w:rPr>
                <w:color w:val="000000"/>
              </w:rPr>
              <w:t xml:space="preserve">Application of Southern California Edison Company (E 3338-E) for Authority to Institute a Rate Stabilization Plan with a Rate Increase and End of Rate Freeze Tariffs. </w:t>
            </w:r>
          </w:p>
          <w:p>
            <w:pPr>
              <w:pStyle w:val="Normal"/>
              <w:rPr>
                <w:color w:val="000000"/>
              </w:rPr>
            </w:pPr>
            <w:r>
              <w:rPr>
                <w:color w:val="000000"/>
              </w:rPr>
            </w:r>
          </w:p>
        </w:tc>
        <w:tc>
          <w:tcPr>
            <w:tcW w:w="3287" w:type="dxa"/>
            <w:tcBorders/>
          </w:tcPr>
          <w:p>
            <w:pPr>
              <w:pStyle w:val="Normal"/>
              <w:snapToGrid w:val="false"/>
              <w:jc w:val="center"/>
              <w:rPr>
                <w:color w:val="000000"/>
              </w:rPr>
            </w:pPr>
            <w:r>
              <w:rPr>
                <w:color w:val="000000"/>
              </w:rPr>
            </w:r>
          </w:p>
          <w:p>
            <w:pPr>
              <w:pStyle w:val="Normal"/>
              <w:jc w:val="center"/>
              <w:rPr>
                <w:color w:val="000000"/>
              </w:rPr>
            </w:pPr>
            <w:r>
              <w:rPr>
                <w:color w:val="000000"/>
              </w:rPr>
              <w:t>Application 00-11-038</w:t>
            </w:r>
          </w:p>
          <w:p>
            <w:pPr>
              <w:pStyle w:val="Normal"/>
              <w:jc w:val="center"/>
              <w:rPr>
                <w:color w:val="000000"/>
              </w:rPr>
            </w:pPr>
            <w:r>
              <w:rPr>
                <w:color w:val="000000"/>
              </w:rPr>
              <w:t>(Filed November 16, 2000)</w:t>
            </w:r>
          </w:p>
        </w:tc>
      </w:tr>
      <w:tr>
        <w:trPr/>
        <w:tc>
          <w:tcPr>
            <w:tcW w:w="5958" w:type="dxa"/>
            <w:tcBorders>
              <w:bottom w:val="single" w:sz="6" w:space="0" w:color="000000"/>
              <w:end w:val="single" w:sz="6" w:space="0" w:color="000000"/>
            </w:tcBorders>
          </w:tcPr>
          <w:p>
            <w:pPr>
              <w:pStyle w:val="Normal"/>
              <w:tabs>
                <w:tab w:val="clear" w:pos="720"/>
                <w:tab w:val="left" w:pos="3600" w:leader="none"/>
              </w:tabs>
              <w:snapToGrid w:val="false"/>
              <w:rPr>
                <w:color w:val="000000"/>
              </w:rPr>
            </w:pPr>
            <w:r>
              <w:rPr>
                <w:color w:val="000000"/>
              </w:rPr>
            </w:r>
          </w:p>
          <w:p>
            <w:pPr>
              <w:pStyle w:val="Normal"/>
              <w:rPr>
                <w:color w:val="000000"/>
              </w:rPr>
            </w:pPr>
            <w:r>
              <w:rPr>
                <w:color w:val="000000"/>
              </w:rPr>
              <w:t xml:space="preserve">Emergency Application of Pacific Gas and Electric Company to Adopt a Rate Stabilization Plan.                                               (U 39 E) </w:t>
            </w:r>
          </w:p>
          <w:p>
            <w:pPr>
              <w:pStyle w:val="Normal"/>
              <w:rPr>
                <w:color w:val="000000"/>
              </w:rPr>
            </w:pPr>
            <w:r>
              <w:rPr>
                <w:color w:val="000000"/>
              </w:rPr>
            </w:r>
          </w:p>
        </w:tc>
        <w:tc>
          <w:tcPr>
            <w:tcW w:w="3287" w:type="dxa"/>
            <w:tcBorders/>
          </w:tcPr>
          <w:p>
            <w:pPr>
              <w:pStyle w:val="Normal"/>
              <w:snapToGrid w:val="false"/>
              <w:jc w:val="center"/>
              <w:rPr>
                <w:color w:val="000000"/>
              </w:rPr>
            </w:pPr>
            <w:r>
              <w:rPr>
                <w:color w:val="000000"/>
              </w:rPr>
            </w:r>
          </w:p>
          <w:p>
            <w:pPr>
              <w:pStyle w:val="Normal"/>
              <w:jc w:val="center"/>
              <w:rPr>
                <w:color w:val="000000"/>
              </w:rPr>
            </w:pPr>
            <w:r>
              <w:rPr>
                <w:color w:val="000000"/>
              </w:rPr>
              <w:t>Application 00-11-056</w:t>
            </w:r>
          </w:p>
          <w:p>
            <w:pPr>
              <w:pStyle w:val="Normal"/>
              <w:jc w:val="center"/>
              <w:rPr>
                <w:color w:val="000000"/>
              </w:rPr>
            </w:pPr>
            <w:r>
              <w:rPr>
                <w:color w:val="000000"/>
              </w:rPr>
              <w:t>(Filed November 22, 2000)</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color w:val="000000"/>
              </w:rPr>
            </w:pPr>
            <w:r>
              <w:rPr>
                <w:color w:val="000000"/>
              </w:rPr>
            </w:r>
          </w:p>
          <w:p>
            <w:pPr>
              <w:pStyle w:val="Normal"/>
              <w:tabs>
                <w:tab w:val="clear" w:pos="720"/>
                <w:tab w:val="left" w:pos="2160" w:leader="none"/>
                <w:tab w:val="left" w:pos="3600" w:leader="none"/>
              </w:tabs>
              <w:rPr>
                <w:color w:val="000000"/>
              </w:rPr>
            </w:pPr>
            <w:r>
              <w:rPr>
                <w:color w:val="000000"/>
              </w:rPr>
              <w:t>Petition of THE UTILITY REFORM NETWORK for Modification of Resolution E-3527.</w:t>
            </w:r>
          </w:p>
          <w:p>
            <w:pPr>
              <w:pStyle w:val="Normal"/>
              <w:rPr>
                <w:color w:val="000000"/>
              </w:rPr>
            </w:pPr>
            <w:r>
              <w:rPr>
                <w:color w:val="000000"/>
              </w:rPr>
            </w:r>
          </w:p>
        </w:tc>
        <w:tc>
          <w:tcPr>
            <w:tcW w:w="3287" w:type="dxa"/>
            <w:tcBorders/>
          </w:tcPr>
          <w:p>
            <w:pPr>
              <w:pStyle w:val="Normal"/>
              <w:snapToGrid w:val="false"/>
              <w:jc w:val="center"/>
              <w:rPr>
                <w:color w:val="000000"/>
              </w:rPr>
            </w:pPr>
            <w:r>
              <w:rPr>
                <w:color w:val="000000"/>
              </w:rPr>
            </w:r>
          </w:p>
          <w:p>
            <w:pPr>
              <w:pStyle w:val="Normal"/>
              <w:jc w:val="center"/>
              <w:rPr>
                <w:color w:val="000000"/>
              </w:rPr>
            </w:pPr>
            <w:r>
              <w:rPr>
                <w:color w:val="000000"/>
              </w:rPr>
              <w:t>Application 00-10-028</w:t>
            </w:r>
          </w:p>
          <w:p>
            <w:pPr>
              <w:pStyle w:val="Normal"/>
              <w:jc w:val="center"/>
              <w:rPr>
                <w:color w:val="000000"/>
              </w:rPr>
            </w:pPr>
            <w:r>
              <w:rPr>
                <w:color w:val="000000"/>
              </w:rPr>
              <w:t>(Filed October 17, 2000)</w:t>
            </w:r>
          </w:p>
        </w:tc>
      </w:tr>
    </w:tbl>
    <w:p>
      <w:pPr>
        <w:pStyle w:val="main"/>
        <w:rPr>
          <w:rFonts w:ascii="Arial" w:hAnsi="Arial" w:cs="Arial"/>
          <w:color w:val="000000"/>
          <w:sz w:val="24"/>
          <w:lang w:val="en-US"/>
        </w:rPr>
      </w:pPr>
      <w:r>
        <w:rPr>
          <w:rFonts w:cs="Arial" w:ascii="Arial" w:hAnsi="Arial"/>
          <w:color w:val="000000"/>
          <w:sz w:val="24"/>
          <w:lang w:val="en-US"/>
        </w:rPr>
      </w:r>
    </w:p>
    <w:p>
      <w:pPr>
        <w:pStyle w:val="main"/>
        <w:rPr>
          <w:rFonts w:ascii="Arial" w:hAnsi="Arial" w:cs="Arial"/>
          <w:color w:val="000000"/>
          <w:sz w:val="24"/>
          <w:lang w:val="en-US"/>
        </w:rPr>
      </w:pPr>
      <w:r>
        <w:rPr>
          <w:rFonts w:cs="Arial" w:ascii="Arial" w:hAnsi="Arial"/>
          <w:color w:val="000000"/>
          <w:sz w:val="24"/>
          <w:lang w:val="en-US"/>
        </w:rPr>
      </w:r>
    </w:p>
    <w:p>
      <w:pPr>
        <w:pStyle w:val="main"/>
        <w:rPr>
          <w:rFonts w:ascii="Arial" w:hAnsi="Arial" w:cs="Arial"/>
          <w:color w:val="000000"/>
          <w:sz w:val="24"/>
          <w:lang w:val="en-US"/>
        </w:rPr>
      </w:pPr>
      <w:r>
        <w:rPr>
          <w:rFonts w:cs="Arial" w:ascii="Arial" w:hAnsi="Arial"/>
          <w:color w:val="000000"/>
          <w:sz w:val="24"/>
          <w:lang w:val="en-US"/>
        </w:rPr>
      </w:r>
    </w:p>
    <w:p>
      <w:pPr>
        <w:pStyle w:val="Heading1"/>
        <w:ind w:hanging="0" w:start="0"/>
        <w:rPr/>
      </w:pPr>
      <w:r>
        <w:rPr/>
        <w:t xml:space="preserve">COMMENTS OF THE CALIFORNIA ENERGY COMMISSION </w:t>
      </w:r>
    </w:p>
    <w:p>
      <w:pPr>
        <w:pStyle w:val="Heading2"/>
        <w:ind w:hanging="0" w:start="0"/>
        <w:rPr/>
      </w:pPr>
      <w:r>
        <w:rPr/>
        <w:t xml:space="preserve">ON THE DRAFT DECISION OF ADMINISTRATIVE LAW JUDGE WALWYN </w:t>
      </w:r>
    </w:p>
    <w:p>
      <w:pPr>
        <w:pStyle w:val="Normal"/>
        <w:jc w:val="center"/>
        <w:rPr>
          <w:b/>
        </w:rPr>
      </w:pPr>
      <w:r>
        <w:rPr>
          <w:b/>
        </w:rPr>
        <w:t>RELATIVE TO REAL-TIME PRICING</w:t>
      </w:r>
    </w:p>
    <w:p>
      <w:pPr>
        <w:pStyle w:val="Normal"/>
        <w:jc w:val="center"/>
        <w:rPr>
          <w:b/>
          <w:color w:val="000000"/>
        </w:rPr>
      </w:pPr>
      <w:r>
        <w:rPr>
          <w:b/>
          <w:color w:val="000000"/>
        </w:rPr>
      </w:r>
    </w:p>
    <w:p>
      <w:pPr>
        <w:pStyle w:val="Normal"/>
        <w:jc w:val="center"/>
        <w:rPr>
          <w:b/>
          <w:color w:val="000000"/>
        </w:rPr>
      </w:pPr>
      <w:r>
        <w:rPr>
          <w:b/>
          <w:color w:val="000000"/>
        </w:rPr>
      </w:r>
    </w:p>
    <w:p>
      <w:pPr>
        <w:pStyle w:val="Normal"/>
        <w:jc w:val="center"/>
        <w:rPr>
          <w:b/>
          <w:color w:val="000000"/>
        </w:rPr>
      </w:pPr>
      <w:r>
        <w:rPr>
          <w:b/>
          <w:color w:val="000000"/>
        </w:rPr>
      </w:r>
    </w:p>
    <w:p>
      <w:pPr>
        <w:pStyle w:val="Normal"/>
        <w:jc w:val="center"/>
        <w:rPr>
          <w:b/>
          <w:color w:val="000000"/>
        </w:rPr>
      </w:pPr>
      <w:r>
        <w:rPr>
          <w:b/>
          <w:color w:val="000000"/>
        </w:rPr>
      </w:r>
    </w:p>
    <w:p>
      <w:pPr>
        <w:pStyle w:val="Normal"/>
        <w:jc w:val="center"/>
        <w:rPr>
          <w:b/>
          <w:color w:val="000000"/>
        </w:rPr>
      </w:pPr>
      <w:r>
        <w:rPr>
          <w:b/>
          <w:color w:val="000000"/>
        </w:rPr>
      </w:r>
    </w:p>
    <w:p>
      <w:pPr>
        <w:pStyle w:val="Normal"/>
        <w:jc w:val="center"/>
        <w:rPr>
          <w:b/>
          <w:color w:val="000000"/>
        </w:rPr>
      </w:pPr>
      <w:r>
        <w:rPr>
          <w:b/>
          <w:color w:val="000000"/>
        </w:rPr>
      </w:r>
    </w:p>
    <w:p>
      <w:pPr>
        <w:pStyle w:val="Normal"/>
        <w:jc w:val="center"/>
        <w:rPr>
          <w:b/>
          <w:color w:val="000000"/>
        </w:rPr>
      </w:pPr>
      <w:r>
        <w:rPr>
          <w:b/>
          <w:color w:val="000000"/>
        </w:rPr>
      </w:r>
    </w:p>
    <w:p>
      <w:pPr>
        <w:pStyle w:val="Footer"/>
        <w:ind w:firstLine="720" w:start="3600" w:end="0"/>
        <w:rPr>
          <w:b/>
          <w:color w:val="000000"/>
          <w:lang w:val="en-US"/>
        </w:rPr>
      </w:pPr>
      <w:r>
        <w:rPr>
          <w:b/>
          <w:color w:val="000000"/>
          <w:lang w:val="en-US"/>
        </w:rPr>
      </w:r>
    </w:p>
    <w:p>
      <w:pPr>
        <w:pStyle w:val="Footer"/>
        <w:ind w:firstLine="720" w:start="3600" w:end="0"/>
        <w:rPr>
          <w:color w:val="000000"/>
          <w:lang w:val="en-US"/>
        </w:rPr>
      </w:pPr>
      <w:r>
        <w:rPr>
          <w:color w:val="000000"/>
          <w:lang w:val="en-US"/>
        </w:rPr>
      </w:r>
    </w:p>
    <w:p>
      <w:pPr>
        <w:pStyle w:val="Footer"/>
        <w:ind w:firstLine="720" w:start="3600" w:end="0"/>
        <w:rPr>
          <w:color w:val="000000"/>
          <w:lang w:val="en-US"/>
        </w:rPr>
      </w:pPr>
      <w:r>
        <w:rPr>
          <w:color w:val="000000"/>
          <w:lang w:val="en-US"/>
        </w:rPr>
        <w:t>Jennifer Tachera</w:t>
      </w:r>
    </w:p>
    <w:p>
      <w:pPr>
        <w:pStyle w:val="Normal"/>
        <w:rPr>
          <w:color w:val="000000"/>
        </w:rPr>
      </w:pPr>
      <w:r>
        <w:rPr>
          <w:color w:val="000000"/>
        </w:rPr>
        <w:tab/>
        <w:tab/>
        <w:tab/>
        <w:tab/>
        <w:tab/>
        <w:tab/>
        <w:t>California Energy Commission</w:t>
      </w:r>
    </w:p>
    <w:p>
      <w:pPr>
        <w:pStyle w:val="Normal"/>
        <w:rPr/>
      </w:pPr>
      <w:r>
        <w:rPr>
          <w:color w:val="000000"/>
        </w:rPr>
        <w:tab/>
        <w:tab/>
        <w:tab/>
        <w:tab/>
        <w:tab/>
        <w:tab/>
        <w:t>1516 9</w:t>
      </w:r>
      <w:r>
        <w:rPr>
          <w:color w:val="000000"/>
          <w:vertAlign w:val="superscript"/>
        </w:rPr>
        <w:t>th</w:t>
      </w:r>
      <w:r>
        <w:rPr>
          <w:color w:val="000000"/>
        </w:rPr>
        <w:t xml:space="preserve"> Street, M.S.-14</w:t>
      </w:r>
    </w:p>
    <w:p>
      <w:pPr>
        <w:pStyle w:val="Normal"/>
        <w:rPr>
          <w:color w:val="000000"/>
        </w:rPr>
      </w:pPr>
      <w:r>
        <w:rPr>
          <w:color w:val="000000"/>
        </w:rPr>
        <w:tab/>
        <w:tab/>
        <w:tab/>
        <w:tab/>
        <w:tab/>
        <w:tab/>
        <w:t>Sacramento, CA 95815</w:t>
      </w:r>
    </w:p>
    <w:p>
      <w:pPr>
        <w:pStyle w:val="Normal"/>
        <w:rPr>
          <w:color w:val="000000"/>
        </w:rPr>
      </w:pPr>
      <w:r>
        <w:rPr>
          <w:color w:val="000000"/>
        </w:rPr>
        <w:tab/>
        <w:tab/>
        <w:tab/>
        <w:tab/>
        <w:tab/>
        <w:tab/>
        <w:t>Tel. (916) 654-3870</w:t>
      </w:r>
    </w:p>
    <w:p>
      <w:pPr>
        <w:pStyle w:val="Normal"/>
        <w:rPr>
          <w:color w:val="000000"/>
        </w:rPr>
      </w:pPr>
      <w:r>
        <w:rPr>
          <w:color w:val="000000"/>
        </w:rPr>
        <w:tab/>
        <w:tab/>
        <w:tab/>
        <w:tab/>
        <w:tab/>
        <w:tab/>
        <w:t>Fax. (916) 654-3843</w:t>
      </w:r>
    </w:p>
    <w:p>
      <w:pPr>
        <w:pStyle w:val="Normal"/>
        <w:rPr/>
      </w:pPr>
      <w:r>
        <w:rPr>
          <w:color w:val="000000"/>
        </w:rPr>
        <w:tab/>
        <w:tab/>
        <w:tab/>
        <w:tab/>
        <w:tab/>
        <w:tab/>
        <w:t xml:space="preserve">E-mail </w:t>
      </w:r>
      <w:r>
        <w:rPr>
          <w:rStyle w:val="WW-Hyperlink"/>
          <w:color w:val="000000"/>
        </w:rPr>
        <w:t>jtachera@energy.state.ca.us</w:t>
      </w:r>
    </w:p>
    <w:p>
      <w:pPr>
        <w:pStyle w:val="Normal"/>
        <w:rPr>
          <w:rStyle w:val="WW-Hyperlink"/>
          <w:color w:val="000000"/>
        </w:rPr>
      </w:pPr>
      <w:r>
        <w:rPr/>
      </w:r>
    </w:p>
    <w:p>
      <w:pPr>
        <w:pStyle w:val="Normal"/>
        <w:rPr>
          <w:color w:val="000000"/>
        </w:rPr>
      </w:pPr>
      <w:r>
        <w:rPr>
          <w:color w:val="000000"/>
        </w:rPr>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Footer"/>
        <w:tabs>
          <w:tab w:val="clear" w:pos="4320"/>
          <w:tab w:val="clear" w:pos="8640"/>
        </w:tabs>
        <w:spacing w:lineRule="auto" w:line="480"/>
        <w:rPr>
          <w:color w:val="000000"/>
          <w:lang w:val="en-US"/>
        </w:rPr>
      </w:pPr>
      <w:r>
        <w:rPr>
          <w:color w:val="000000"/>
          <w:lang w:val="en-US"/>
        </w:rPr>
        <w:t xml:space="preserve">July 26, 2001 </w:t>
      </w:r>
    </w:p>
    <w:p>
      <w:pPr>
        <w:pStyle w:val="Footer"/>
        <w:tabs>
          <w:tab w:val="clear" w:pos="4320"/>
          <w:tab w:val="clear" w:pos="8640"/>
        </w:tabs>
        <w:jc w:val="center"/>
        <w:rPr>
          <w:b/>
          <w:color w:val="000000"/>
          <w:lang w:val="en-US"/>
        </w:rPr>
      </w:pPr>
      <w:r>
        <w:rPr>
          <w:b/>
          <w:color w:val="000000"/>
          <w:lang w:val="en-US"/>
        </w:rPr>
        <w:t>BEFORE THE PUBLIC UTILITIES COMMISSION</w:t>
      </w:r>
    </w:p>
    <w:p>
      <w:pPr>
        <w:pStyle w:val="Footer"/>
        <w:tabs>
          <w:tab w:val="clear" w:pos="4320"/>
          <w:tab w:val="clear" w:pos="8640"/>
        </w:tabs>
        <w:jc w:val="center"/>
        <w:rPr>
          <w:b/>
          <w:color w:val="000000"/>
          <w:lang w:val="en-US"/>
        </w:rPr>
      </w:pPr>
      <w:r>
        <w:rPr>
          <w:b/>
          <w:color w:val="000000"/>
          <w:lang w:val="en-US"/>
        </w:rPr>
        <w:t>OF THE STATE OF CALIFORNIA</w:t>
      </w:r>
    </w:p>
    <w:p>
      <w:pPr>
        <w:pStyle w:val="Header"/>
        <w:widowControl/>
        <w:tabs>
          <w:tab w:val="clear" w:pos="4320"/>
          <w:tab w:val="clear" w:pos="8640"/>
        </w:tabs>
        <w:rPr>
          <w:rFonts w:ascii="Arial" w:hAnsi="Arial" w:cs="Arial"/>
          <w:b/>
          <w:color w:val="000000"/>
          <w:sz w:val="24"/>
          <w:lang w:val="en-US"/>
        </w:rPr>
      </w:pPr>
      <w:r>
        <w:rPr>
          <w:rFonts w:cs="Arial" w:ascii="Arial" w:hAnsi="Arial"/>
          <w:b/>
          <w:color w:val="000000"/>
          <w:sz w:val="24"/>
          <w:lang w:val="en-US"/>
        </w:rPr>
      </w:r>
    </w:p>
    <w:p>
      <w:pPr>
        <w:pStyle w:val="Header"/>
        <w:widowControl/>
        <w:tabs>
          <w:tab w:val="clear" w:pos="4320"/>
          <w:tab w:val="clear" w:pos="8640"/>
        </w:tabs>
        <w:rPr>
          <w:rFonts w:ascii="Arial" w:hAnsi="Arial" w:cs="Arial"/>
          <w:color w:val="000000"/>
          <w:sz w:val="24"/>
          <w:lang w:val="en-US"/>
        </w:rPr>
      </w:pPr>
      <w:r>
        <w:rPr>
          <w:rFonts w:cs="Arial" w:ascii="Arial" w:hAnsi="Arial"/>
          <w:color w:val="000000"/>
          <w:sz w:val="24"/>
          <w:lang w:val="en-US"/>
        </w:rPr>
      </w:r>
    </w:p>
    <w:tbl>
      <w:tblPr>
        <w:tblW w:w="9245" w:type="dxa"/>
        <w:jc w:val="start"/>
        <w:tblInd w:w="0" w:type="dxa"/>
        <w:tblLayout w:type="fixed"/>
        <w:tblCellMar>
          <w:top w:w="0" w:type="dxa"/>
          <w:start w:w="0" w:type="dxa"/>
          <w:bottom w:w="0" w:type="dxa"/>
          <w:end w:w="0" w:type="dxa"/>
        </w:tblCellMar>
      </w:tblPr>
      <w:tblGrid>
        <w:gridCol w:w="5958"/>
        <w:gridCol w:w="3287"/>
      </w:tblGrid>
      <w:tr>
        <w:trPr/>
        <w:tc>
          <w:tcPr>
            <w:tcW w:w="5958" w:type="dxa"/>
            <w:tcBorders>
              <w:bottom w:val="single" w:sz="6" w:space="0" w:color="000000"/>
              <w:end w:val="single" w:sz="6" w:space="0" w:color="000000"/>
            </w:tcBorders>
          </w:tcPr>
          <w:p>
            <w:pPr>
              <w:pStyle w:val="Normal"/>
              <w:rPr>
                <w:color w:val="000000"/>
              </w:rPr>
            </w:pPr>
            <w:r>
              <w:rPr>
                <w:color w:val="000000"/>
              </w:rPr>
              <w:t xml:space="preserve">Application of Southern California Edison Company </w:t>
            </w:r>
          </w:p>
          <w:p>
            <w:pPr>
              <w:pStyle w:val="Normal"/>
              <w:rPr>
                <w:color w:val="000000"/>
              </w:rPr>
            </w:pPr>
            <w:r>
              <w:rPr>
                <w:color w:val="000000"/>
              </w:rPr>
              <w:t xml:space="preserve">(E 3338-E) for Authority to Institute a Rate Stabilization Plan with a Rate Increase and End of Rate Freeze Tariffs. </w:t>
            </w:r>
          </w:p>
          <w:p>
            <w:pPr>
              <w:pStyle w:val="Normal"/>
              <w:rPr>
                <w:color w:val="000000"/>
              </w:rPr>
            </w:pPr>
            <w:r>
              <w:rPr>
                <w:color w:val="000000"/>
              </w:rPr>
            </w:r>
          </w:p>
        </w:tc>
        <w:tc>
          <w:tcPr>
            <w:tcW w:w="3287" w:type="dxa"/>
            <w:tcBorders/>
          </w:tcPr>
          <w:p>
            <w:pPr>
              <w:pStyle w:val="Normal"/>
              <w:snapToGrid w:val="false"/>
              <w:jc w:val="center"/>
              <w:rPr>
                <w:color w:val="000000"/>
              </w:rPr>
            </w:pPr>
            <w:r>
              <w:rPr>
                <w:color w:val="000000"/>
              </w:rPr>
            </w:r>
          </w:p>
          <w:p>
            <w:pPr>
              <w:pStyle w:val="Normal"/>
              <w:jc w:val="center"/>
              <w:rPr>
                <w:color w:val="000000"/>
              </w:rPr>
            </w:pPr>
            <w:r>
              <w:rPr>
                <w:color w:val="000000"/>
              </w:rPr>
              <w:t>Application 00-11-038</w:t>
            </w:r>
          </w:p>
          <w:p>
            <w:pPr>
              <w:pStyle w:val="Normal"/>
              <w:jc w:val="center"/>
              <w:rPr>
                <w:color w:val="000000"/>
              </w:rPr>
            </w:pPr>
            <w:r>
              <w:rPr>
                <w:color w:val="000000"/>
              </w:rPr>
              <w:t>(Filed November 16, 2000)</w:t>
            </w:r>
          </w:p>
        </w:tc>
      </w:tr>
      <w:tr>
        <w:trPr/>
        <w:tc>
          <w:tcPr>
            <w:tcW w:w="5958" w:type="dxa"/>
            <w:tcBorders>
              <w:bottom w:val="single" w:sz="6" w:space="0" w:color="000000"/>
              <w:end w:val="single" w:sz="6" w:space="0" w:color="000000"/>
            </w:tcBorders>
          </w:tcPr>
          <w:p>
            <w:pPr>
              <w:pStyle w:val="Normal"/>
              <w:tabs>
                <w:tab w:val="clear" w:pos="720"/>
                <w:tab w:val="left" w:pos="3600" w:leader="none"/>
              </w:tabs>
              <w:snapToGrid w:val="false"/>
              <w:rPr>
                <w:color w:val="000000"/>
              </w:rPr>
            </w:pPr>
            <w:r>
              <w:rPr>
                <w:color w:val="000000"/>
              </w:rPr>
            </w:r>
          </w:p>
          <w:p>
            <w:pPr>
              <w:pStyle w:val="Normal"/>
              <w:rPr>
                <w:color w:val="000000"/>
              </w:rPr>
            </w:pPr>
            <w:r>
              <w:rPr>
                <w:color w:val="000000"/>
              </w:rPr>
              <w:t xml:space="preserve">Emergency Application of Pacific Gas and Electric Company to Adopt a Rate Stabilization Plan.                                               (U 39 E) </w:t>
            </w:r>
          </w:p>
          <w:p>
            <w:pPr>
              <w:pStyle w:val="Normal"/>
              <w:rPr>
                <w:color w:val="000000"/>
              </w:rPr>
            </w:pPr>
            <w:r>
              <w:rPr>
                <w:color w:val="000000"/>
              </w:rPr>
            </w:r>
          </w:p>
        </w:tc>
        <w:tc>
          <w:tcPr>
            <w:tcW w:w="3287" w:type="dxa"/>
            <w:tcBorders/>
          </w:tcPr>
          <w:p>
            <w:pPr>
              <w:pStyle w:val="Normal"/>
              <w:snapToGrid w:val="false"/>
              <w:jc w:val="center"/>
              <w:rPr>
                <w:color w:val="000000"/>
              </w:rPr>
            </w:pPr>
            <w:r>
              <w:rPr>
                <w:color w:val="000000"/>
              </w:rPr>
            </w:r>
          </w:p>
          <w:p>
            <w:pPr>
              <w:pStyle w:val="Normal"/>
              <w:jc w:val="center"/>
              <w:rPr>
                <w:color w:val="000000"/>
              </w:rPr>
            </w:pPr>
            <w:r>
              <w:rPr>
                <w:color w:val="000000"/>
              </w:rPr>
              <w:t>Application 00-11-056</w:t>
            </w:r>
          </w:p>
          <w:p>
            <w:pPr>
              <w:pStyle w:val="Normal"/>
              <w:jc w:val="center"/>
              <w:rPr>
                <w:color w:val="000000"/>
              </w:rPr>
            </w:pPr>
            <w:r>
              <w:rPr>
                <w:color w:val="000000"/>
              </w:rPr>
              <w:t>(Filed November 22, 2000)</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color w:val="000000"/>
              </w:rPr>
            </w:pPr>
            <w:r>
              <w:rPr>
                <w:color w:val="000000"/>
              </w:rPr>
            </w:r>
          </w:p>
          <w:p>
            <w:pPr>
              <w:pStyle w:val="Normal"/>
              <w:tabs>
                <w:tab w:val="clear" w:pos="720"/>
                <w:tab w:val="left" w:pos="2160" w:leader="none"/>
                <w:tab w:val="left" w:pos="3600" w:leader="none"/>
              </w:tabs>
              <w:rPr>
                <w:color w:val="000000"/>
              </w:rPr>
            </w:pPr>
            <w:r>
              <w:rPr>
                <w:color w:val="000000"/>
              </w:rPr>
              <w:t>Petition of THE UTILITY REFORM NETWORK for Modification of Resolution E-3527.</w:t>
            </w:r>
          </w:p>
          <w:p>
            <w:pPr>
              <w:pStyle w:val="Normal"/>
              <w:rPr>
                <w:color w:val="000000"/>
              </w:rPr>
            </w:pPr>
            <w:r>
              <w:rPr>
                <w:color w:val="000000"/>
              </w:rPr>
            </w:r>
          </w:p>
        </w:tc>
        <w:tc>
          <w:tcPr>
            <w:tcW w:w="3287" w:type="dxa"/>
            <w:tcBorders/>
          </w:tcPr>
          <w:p>
            <w:pPr>
              <w:pStyle w:val="Normal"/>
              <w:snapToGrid w:val="false"/>
              <w:jc w:val="center"/>
              <w:rPr>
                <w:color w:val="000000"/>
              </w:rPr>
            </w:pPr>
            <w:r>
              <w:rPr>
                <w:color w:val="000000"/>
              </w:rPr>
            </w:r>
          </w:p>
          <w:p>
            <w:pPr>
              <w:pStyle w:val="Normal"/>
              <w:jc w:val="center"/>
              <w:rPr>
                <w:color w:val="000000"/>
              </w:rPr>
            </w:pPr>
            <w:r>
              <w:rPr>
                <w:color w:val="000000"/>
              </w:rPr>
              <w:t>Application 00-10-028</w:t>
            </w:r>
          </w:p>
          <w:p>
            <w:pPr>
              <w:pStyle w:val="Normal"/>
              <w:jc w:val="center"/>
              <w:rPr>
                <w:color w:val="000000"/>
              </w:rPr>
            </w:pPr>
            <w:r>
              <w:rPr>
                <w:color w:val="000000"/>
              </w:rPr>
              <w:t>(Filed October 17, 2000)</w:t>
            </w:r>
          </w:p>
        </w:tc>
      </w:tr>
    </w:tbl>
    <w:p>
      <w:pPr>
        <w:pStyle w:val="main"/>
        <w:rPr>
          <w:rFonts w:ascii="Arial" w:hAnsi="Arial" w:cs="Arial"/>
          <w:color w:val="000000"/>
          <w:sz w:val="24"/>
          <w:lang w:val="en-US"/>
        </w:rPr>
      </w:pPr>
      <w:r>
        <w:rPr>
          <w:rFonts w:cs="Arial" w:ascii="Arial" w:hAnsi="Arial"/>
          <w:color w:val="000000"/>
          <w:sz w:val="24"/>
          <w:lang w:val="en-US"/>
        </w:rPr>
      </w:r>
    </w:p>
    <w:p>
      <w:pPr>
        <w:pStyle w:val="main"/>
        <w:rPr>
          <w:rFonts w:ascii="Arial" w:hAnsi="Arial" w:cs="Arial"/>
          <w:color w:val="000000"/>
          <w:sz w:val="24"/>
          <w:lang w:val="en-US"/>
        </w:rPr>
      </w:pPr>
      <w:r>
        <w:rPr>
          <w:rFonts w:cs="Arial" w:ascii="Arial" w:hAnsi="Arial"/>
          <w:color w:val="000000"/>
          <w:sz w:val="24"/>
          <w:lang w:val="en-US"/>
        </w:rPr>
      </w:r>
    </w:p>
    <w:p>
      <w:pPr>
        <w:pStyle w:val="main"/>
        <w:rPr>
          <w:rFonts w:ascii="Arial" w:hAnsi="Arial" w:cs="Arial"/>
          <w:color w:val="000000"/>
          <w:sz w:val="24"/>
          <w:lang w:val="en-US"/>
        </w:rPr>
      </w:pPr>
      <w:r>
        <w:rPr>
          <w:rFonts w:cs="Arial" w:ascii="Arial" w:hAnsi="Arial"/>
          <w:color w:val="000000"/>
          <w:sz w:val="24"/>
          <w:lang w:val="en-US"/>
        </w:rPr>
      </w:r>
    </w:p>
    <w:p>
      <w:pPr>
        <w:pStyle w:val="Heading1"/>
        <w:ind w:hanging="0" w:start="0"/>
        <w:rPr/>
      </w:pPr>
      <w:r>
        <w:rPr/>
        <w:t xml:space="preserve">COMMENTS OF THE CALIFORNIA ENERGY COMMISSION </w:t>
      </w:r>
    </w:p>
    <w:p>
      <w:pPr>
        <w:pStyle w:val="Heading2"/>
        <w:ind w:hanging="0" w:start="0"/>
        <w:rPr/>
      </w:pPr>
      <w:r>
        <w:rPr/>
        <w:t xml:space="preserve">ON THE DRAFT DECISION OF ADMINISTRATIVE LAW JUDGE WALWYN </w:t>
      </w:r>
    </w:p>
    <w:p>
      <w:pPr>
        <w:pStyle w:val="Normal"/>
        <w:jc w:val="center"/>
        <w:rPr>
          <w:b/>
        </w:rPr>
      </w:pPr>
      <w:r>
        <w:rPr>
          <w:b/>
        </w:rPr>
        <w:t>RELATIVE TO REAL-TIME PRICING</w:t>
      </w:r>
    </w:p>
    <w:p>
      <w:pPr>
        <w:pStyle w:val="Normal"/>
        <w:jc w:val="center"/>
        <w:rPr>
          <w:b/>
          <w:color w:val="000000"/>
        </w:rPr>
      </w:pPr>
      <w:r>
        <w:rPr>
          <w:b/>
          <w:color w:val="000000"/>
        </w:rPr>
      </w:r>
    </w:p>
    <w:p>
      <w:pPr>
        <w:pStyle w:val="Normal"/>
        <w:jc w:val="center"/>
        <w:rPr>
          <w:b/>
          <w:color w:val="000000"/>
        </w:rPr>
      </w:pPr>
      <w:r>
        <w:rPr>
          <w:b/>
          <w:color w:val="000000"/>
        </w:rPr>
      </w:r>
    </w:p>
    <w:p>
      <w:pPr>
        <w:pStyle w:val="BodyText2"/>
        <w:spacing w:lineRule="auto" w:line="480"/>
        <w:ind w:firstLine="720" w:end="0"/>
        <w:rPr/>
      </w:pPr>
      <w:r>
        <w:rPr/>
        <w:t>Pursuant to Rule 77.7(f)(9) of the Rules of Practice of the California Public Utilities Commission (CPUC) and the draft decision (DD) of Administrative Law Judge (ALJ) Walwyn issued July 19, 2001, the California Energy Commission (CEC) respectfully offers the following comments.</w:t>
      </w:r>
    </w:p>
    <w:p>
      <w:pPr>
        <w:pStyle w:val="Normal"/>
        <w:spacing w:lineRule="auto" w:line="480"/>
        <w:rPr>
          <w:color w:val="000000"/>
        </w:rPr>
      </w:pPr>
      <w:r>
        <w:rPr>
          <w:color w:val="000000"/>
        </w:rPr>
      </w:r>
    </w:p>
    <w:p>
      <w:pPr>
        <w:pStyle w:val="Heading3"/>
        <w:numPr>
          <w:ilvl w:val="0"/>
          <w:numId w:val="4"/>
        </w:numPr>
        <w:spacing w:lineRule="auto" w:line="480"/>
        <w:rPr/>
      </w:pPr>
      <w:r>
        <w:rPr/>
        <w:t>SUMMARY</w:t>
      </w:r>
    </w:p>
    <w:p>
      <w:pPr>
        <w:pStyle w:val="Normal"/>
        <w:spacing w:lineRule="auto" w:line="480"/>
        <w:ind w:firstLine="720" w:end="0"/>
        <w:rPr>
          <w:color w:val="000000"/>
        </w:rPr>
      </w:pPr>
      <w:r>
        <w:rPr>
          <w:color w:val="000000"/>
        </w:rPr>
        <w:t xml:space="preserve">The CEC is gratified that its May 19 petition has been addressed and that the CPUC agrees that the metering program under Assembly Bill 29X is mandatory. The CEC is also pleased to see the CPUC reiterate its support for a Real-Time Pricing option.  </w:t>
      </w:r>
    </w:p>
    <w:p>
      <w:pPr>
        <w:pStyle w:val="Normal"/>
        <w:spacing w:lineRule="auto" w:line="480"/>
        <w:ind w:firstLine="720" w:end="0"/>
        <w:rPr>
          <w:b/>
          <w:color w:val="000000"/>
        </w:rPr>
      </w:pPr>
      <w:r>
        <w:rPr>
          <w:b/>
          <w:color w:val="000000"/>
        </w:rPr>
        <w:t>A. Revised Tariff</w:t>
      </w:r>
    </w:p>
    <w:p>
      <w:pPr>
        <w:pStyle w:val="Normal"/>
        <w:spacing w:lineRule="auto" w:line="480"/>
        <w:ind w:firstLine="720" w:end="0"/>
        <w:rPr>
          <w:color w:val="000000"/>
        </w:rPr>
      </w:pPr>
      <w:r>
        <w:rPr>
          <w:color w:val="000000"/>
        </w:rPr>
        <w:t>The CEC agrees that improvements are possible for the CEC’s initial RTP tariff design. Indeed, a revised tariff, which was negotiated with the utility distribution companies (UDCs) under the auspices of the Governor’s Office, is attached.  We believe these refinements, along with additional information, address the concerns raised in the DD. Specific issues are addressed primarily in Section VII.</w:t>
      </w:r>
    </w:p>
    <w:p>
      <w:pPr>
        <w:pStyle w:val="Normal"/>
        <w:spacing w:lineRule="auto" w:line="480"/>
        <w:ind w:firstLine="720" w:end="0"/>
        <w:rPr>
          <w:b/>
        </w:rPr>
      </w:pPr>
      <w:r>
        <w:rPr>
          <w:b/>
        </w:rPr>
        <w:t>B. Methodology for RTP</w:t>
      </w:r>
    </w:p>
    <w:p>
      <w:pPr>
        <w:pStyle w:val="Normal"/>
        <w:spacing w:lineRule="auto" w:line="480"/>
        <w:ind w:firstLine="720" w:end="0"/>
        <w:rPr/>
      </w:pPr>
      <w:r>
        <w:rPr/>
        <w:t>In particular, the CEC has been working with Department of Water Resources (DWR)/ California Energy Resource Scheduler (CERS), the California Independent System Operator (ISO) and other agencies to develop a methodology for computing and posting Real Time Pricing Offer (RTPO) values that accurately reflect avoided energy and ancillary service costs as well as a reliability adder when this is appropriate as a result of supply-demand balance conditions.  We are continuing to develop a workable RTPO methodology, as described in our June 21, 2001 Petition to Modify that satisfies DWR/CERS concerns that its energy procurement cost bids not be directly revealed.</w:t>
      </w:r>
      <w:r>
        <w:rPr>
          <w:rStyle w:val="FootnoteCharacters"/>
        </w:rPr>
        <w:t xml:space="preserve"> </w:t>
      </w:r>
      <w:r>
        <w:rPr/>
        <w:t>While the DD appears to criticize CEC’s proposed RTPO methodology as a unlawful delegation of the CPUC’s ratemaking authority, in fact, this methodology is consistent with other actions taken by the CPUC where rate design elements are considered and approved as part of the ratemaking process and the implementation—the construction of the actual details of rate calculation—are delegated, subject to Commission authority. Thus, the RTPO methodology is consistent with previous CPUC practices to authorize market-based energy costs to flow directly to end-user bills.</w:t>
      </w:r>
      <w:r>
        <w:rPr>
          <w:rStyle w:val="FootnoteCharacters"/>
          <w:rStyle w:val="FootnoteReference"/>
        </w:rPr>
        <w:footnoteReference w:id="2"/>
      </w:r>
    </w:p>
    <w:p>
      <w:pPr>
        <w:pStyle w:val="Normal"/>
        <w:spacing w:lineRule="auto" w:line="480"/>
        <w:ind w:firstLine="720" w:end="0"/>
        <w:rPr/>
      </w:pPr>
      <w:r>
        <w:rPr/>
        <w:t>Thus, the RTPO methodology is consistent with previous CPUC practices to authorize market-based energy costs to flow directly to end-user bills without filtering by CPUC ratemaking reviews.</w:t>
      </w:r>
      <w:r>
        <w:rPr>
          <w:rStyle w:val="FootnoteCharacters"/>
          <w:rStyle w:val="FootnoteReference"/>
        </w:rPr>
        <w:footnoteReference w:id="3"/>
      </w:r>
      <w:r>
        <w:rPr/>
        <w:t xml:space="preserve">  </w:t>
      </w:r>
    </w:p>
    <w:p>
      <w:pPr>
        <w:pStyle w:val="Normal"/>
        <w:spacing w:lineRule="auto" w:line="480"/>
        <w:ind w:firstLine="720" w:end="0"/>
        <w:rPr/>
      </w:pPr>
      <w:r>
        <w:rPr/>
      </w:r>
    </w:p>
    <w:p>
      <w:pPr>
        <w:pStyle w:val="Heading7"/>
        <w:numPr>
          <w:ilvl w:val="0"/>
          <w:numId w:val="4"/>
        </w:numPr>
        <w:ind w:hanging="0" w:start="0"/>
        <w:rPr/>
      </w:pPr>
      <w:r>
        <w:rPr/>
        <w:t>METER DEPLOYMENT</w:t>
      </w:r>
    </w:p>
    <w:p>
      <w:pPr>
        <w:pStyle w:val="BodyTextIndent"/>
        <w:spacing w:lineRule="auto" w:line="480"/>
        <w:rPr>
          <w:b/>
        </w:rPr>
      </w:pPr>
      <w:r>
        <w:rPr>
          <w:b/>
        </w:rPr>
        <w:t>A. CPUC Options</w:t>
      </w:r>
    </w:p>
    <w:p>
      <w:pPr>
        <w:pStyle w:val="BodyTextIndent"/>
        <w:spacing w:lineRule="auto" w:line="480"/>
        <w:rPr/>
      </w:pPr>
      <w:r>
        <w:rPr/>
        <w:t>Meters are now being installed and customers, under the DD, will be faced with the requirement to make choices. These customers should be given the option of taking RTP as one of the demand reduction options. As explained below, because there are so few realistic demand reduction program options for customers in the 200 kW to 500 kW range, we believe that it is critical to include RTP as one of the choices.</w:t>
      </w:r>
    </w:p>
    <w:p>
      <w:pPr>
        <w:pStyle w:val="BodyTextIndent"/>
        <w:spacing w:lineRule="auto" w:line="480"/>
        <w:rPr/>
      </w:pPr>
      <w:r>
        <w:rPr/>
        <w:t>RTP offers substantial system benefits and is workable in the near term. The CEC respectfully requests that on August 2, 2001 the CPUC adopt the revised CEC RTP tariff and clarify that while receipt of a meter under AB 29X is mandatory, and that a meter recipient can elect to take a time-of-use (TOU) rate or a demand reduction program, including RTP.</w:t>
      </w:r>
    </w:p>
    <w:p>
      <w:pPr>
        <w:pStyle w:val="BodyTextIndent"/>
        <w:spacing w:lineRule="auto" w:line="480"/>
        <w:rPr/>
      </w:pPr>
      <w:r>
        <w:rPr/>
        <w:t xml:space="preserve">In the alternative, the CPUC could clarify that while receipt of a meter under AB 29X is mandatory, a meter recipient can elect to take a TOU rate or a demand reduction program, including RTP and defer a decision on the RTP tariff until the receipt of other RTP designs August 17.  The CPUC could authorize an RTP tariff design at the August 23 business meeting. </w:t>
      </w:r>
    </w:p>
    <w:p>
      <w:pPr>
        <w:pStyle w:val="BodyTextIndent"/>
        <w:spacing w:lineRule="auto" w:line="480"/>
        <w:rPr/>
      </w:pPr>
      <w:r>
        <w:rPr/>
        <w:t>Under either timeline, the CPUC should ensure that mandatory deployment of the AB 29X meters begins immediately and make it clear that one of the demand reduction program options available to a meter recipient is RTP.</w:t>
      </w:r>
    </w:p>
    <w:p>
      <w:pPr>
        <w:pStyle w:val="Heading3"/>
        <w:numPr>
          <w:ilvl w:val="0"/>
          <w:numId w:val="2"/>
        </w:numPr>
        <w:tabs>
          <w:tab w:val="clear" w:pos="720"/>
          <w:tab w:val="left" w:pos="1080" w:leader="none"/>
        </w:tabs>
        <w:ind w:hanging="360" w:start="1080" w:end="0"/>
        <w:rPr/>
      </w:pPr>
      <w:r>
        <w:rPr/>
        <w:t>Demand Reduction Program “Options”</w:t>
      </w:r>
    </w:p>
    <w:p>
      <w:pPr>
        <w:pStyle w:val="Normal"/>
        <w:rPr/>
      </w:pPr>
      <w:r>
        <w:rPr/>
      </w:r>
    </w:p>
    <w:p>
      <w:pPr>
        <w:pStyle w:val="Normal"/>
        <w:spacing w:lineRule="auto" w:line="480"/>
        <w:ind w:firstLine="720" w:end="0"/>
        <w:rPr/>
      </w:pPr>
      <w:r>
        <w:rPr/>
        <w:t>The DD stipulates that customers who receive a meter under AB29X must elect to go on a TOU tariff or a “demand reduction program” offered by the CPUC</w:t>
      </w:r>
    </w:p>
    <w:p>
      <w:pPr>
        <w:pStyle w:val="Normal"/>
        <w:spacing w:lineRule="auto" w:line="480"/>
        <w:rPr/>
      </w:pPr>
      <w:r>
        <w:rPr/>
        <w:t>(p. 6).</w:t>
      </w:r>
      <w:r>
        <w:rPr>
          <w:rStyle w:val="FootnoteCharacters"/>
          <w:rStyle w:val="FootnoteReference"/>
        </w:rPr>
        <w:footnoteReference w:id="4"/>
      </w:r>
      <w:r>
        <w:rPr/>
        <w:t xml:space="preserve">   </w:t>
      </w:r>
    </w:p>
    <w:p>
      <w:pPr>
        <w:pStyle w:val="Normal"/>
        <w:spacing w:lineRule="auto" w:line="480"/>
        <w:ind w:firstLine="720" w:end="0"/>
        <w:rPr/>
      </w:pPr>
      <w:r>
        <w:rPr/>
        <w:t>The demand reduction programs now offered as options appear to include 1) Capacity Interruptible Programs; 2) the new Base Interruptible Program (BIP); 3) Air Conditioning (AC) Cycling Programs; 4) the Optional Binding Mandatory Curtailment (OBMC) Program; and 5) the new Demand Bidding Program (DBP).</w:t>
      </w:r>
      <w:r>
        <w:rPr>
          <w:rStyle w:val="FootnoteCharacters"/>
          <w:rStyle w:val="FootnoteReference"/>
        </w:rPr>
        <w:footnoteReference w:id="5"/>
      </w:r>
      <w:r>
        <w:rPr/>
        <w:t xml:space="preserve"> </w:t>
      </w:r>
    </w:p>
    <w:p>
      <w:pPr>
        <w:pStyle w:val="Normal"/>
        <w:spacing w:lineRule="auto" w:line="480"/>
        <w:ind w:firstLine="720" w:end="0"/>
        <w:rPr/>
      </w:pPr>
      <w:r>
        <w:rPr/>
        <w:t>Close inspection of these programs reveals an extremely limited ability for some customers to participate, particularly those customers in the 200 kilowatt (kW) to 500 kW</w:t>
      </w:r>
      <w:r>
        <w:rPr>
          <w:rStyle w:val="FootnoteCharacters"/>
          <w:rStyle w:val="FootnoteReference"/>
        </w:rPr>
        <w:footnoteReference w:id="6"/>
      </w:r>
      <w:r>
        <w:rPr/>
        <w:t xml:space="preserve"> range who are receiving real-time meters.   These customers comprise 8000 MW of load.  Experience from CEC pilots and other RTP programs suggests that a 12% demand reduction is typical from these customers. In aggregate then, this group could provide about 1000 MW of load reduction in near-real time critical conditions.  As noted in the chart and then discussed below, RTP may be the only good option available to these customers to achieve this demand reduction.</w:t>
      </w:r>
    </w:p>
    <w:p>
      <w:pPr>
        <w:pStyle w:val="BodyTextIndent"/>
        <w:spacing w:lineRule="auto" w:line="480"/>
        <w:rPr/>
      </w:pPr>
      <w:r>
        <w:rPr/>
        <w:t>To help use this chart, consider a representative 400 kW building that is about 80,000 square feet, such as a supermarket, medium size office building, or small factory. A 12% reduction for this customer is 48 kW.  Such customers will typically exercise some simple manual load reduction techniques or have some pre-defined control strategies in their facility control systems under high prices such as dimming lights or adjusting air conditioning thermostats.  The staff does not have time or expertise to regularly follow market conditions or bid curtailments.</w:t>
      </w:r>
    </w:p>
    <w:p>
      <w:pPr>
        <w:pStyle w:val="Normal"/>
        <w:jc w:val="center"/>
        <w:rPr>
          <w:rFonts w:ascii="Times New Roman" w:hAnsi="Times New Roman" w:cs="Times New Roman"/>
          <w:b/>
        </w:rPr>
      </w:pPr>
      <w:r>
        <w:rPr>
          <w:rFonts w:cs="Times New Roman" w:ascii="Times New Roman" w:hAnsi="Times New Roman"/>
          <w:b/>
        </w:rPr>
        <w:t>Applicability of Major Program Offerings</w:t>
      </w:r>
    </w:p>
    <w:p>
      <w:pPr>
        <w:pStyle w:val="Normal"/>
        <w:jc w:val="center"/>
        <w:rPr>
          <w:rFonts w:ascii="Times New Roman" w:hAnsi="Times New Roman" w:cs="Times New Roman"/>
          <w:b/>
        </w:rPr>
      </w:pPr>
      <w:r>
        <w:rPr>
          <w:rFonts w:cs="Times New Roman" w:ascii="Times New Roman" w:hAnsi="Times New Roman"/>
          <w:b/>
        </w:rPr>
        <w:t>in Encouraging Near Real Time Demand Response</w:t>
      </w:r>
    </w:p>
    <w:p>
      <w:pPr>
        <w:pStyle w:val="Normal"/>
        <w:jc w:val="center"/>
        <w:rPr>
          <w:rFonts w:ascii="Times New Roman" w:hAnsi="Times New Roman" w:cs="Times New Roman"/>
          <w:b/>
        </w:rPr>
      </w:pPr>
      <w:r>
        <w:rPr>
          <w:rFonts w:cs="Times New Roman" w:ascii="Times New Roman" w:hAnsi="Times New Roman"/>
          <w:b/>
        </w:rPr>
        <w:t>by 200 – 500 kW customers</w:t>
      </w:r>
    </w:p>
    <w:p>
      <w:pPr>
        <w:pStyle w:val="Normal"/>
        <w:rPr>
          <w:rFonts w:ascii="Times New Roman" w:hAnsi="Times New Roman" w:cs="Times New Roman"/>
          <w:b/>
        </w:rPr>
      </w:pPr>
      <w:r>
        <w:rPr>
          <w:rFonts w:cs="Times New Roman" w:ascii="Times New Roman" w:hAnsi="Times New Roman"/>
          <w:b/>
        </w:rPr>
      </w:r>
    </w:p>
    <w:p>
      <w:pPr>
        <w:pStyle w:val="Heading1"/>
        <w:ind w:hanging="0" w:start="0"/>
        <w:jc w:val="start"/>
        <w:rPr/>
      </w:pPr>
      <w:r>
        <w:rPr>
          <w:rFonts w:cs="Times New Roman" w:ascii="Times New Roman" w:hAnsi="Times New Roman"/>
          <w:b w:val="false"/>
          <w:u w:val="single"/>
        </w:rPr>
        <w:t>Program Offering</w:t>
      </w:r>
      <w:r>
        <w:rPr>
          <w:rFonts w:cs="Times New Roman" w:ascii="Times New Roman" w:hAnsi="Times New Roman"/>
          <w:b w:val="false"/>
        </w:rPr>
        <w:tab/>
        <w:tab/>
        <w:tab/>
        <w:tab/>
        <w:tab/>
      </w:r>
      <w:r>
        <w:rPr>
          <w:rFonts w:cs="Times New Roman" w:ascii="Times New Roman" w:hAnsi="Times New Roman"/>
          <w:b w:val="false"/>
          <w:u w:val="single"/>
        </w:rPr>
        <w:t>Restriction</w:t>
      </w:r>
    </w:p>
    <w:p>
      <w:pPr>
        <w:pStyle w:val="Normal"/>
        <w:rPr>
          <w:rFonts w:ascii="Times New Roman" w:hAnsi="Times New Roman" w:cs="Times New Roman"/>
          <w:b/>
          <w:u w:val="single"/>
        </w:rPr>
      </w:pPr>
      <w:r>
        <w:rPr>
          <w:rFonts w:cs="Times New Roman" w:ascii="Times New Roman" w:hAnsi="Times New Roman"/>
          <w:b/>
          <w:u w:val="single"/>
        </w:rPr>
      </w:r>
    </w:p>
    <w:p>
      <w:pPr>
        <w:pStyle w:val="Normal"/>
        <w:rPr>
          <w:rFonts w:ascii="Times New Roman" w:hAnsi="Times New Roman" w:cs="Times New Roman"/>
        </w:rPr>
      </w:pPr>
      <w:r>
        <w:rPr>
          <w:rFonts w:cs="Times New Roman" w:ascii="Times New Roman" w:hAnsi="Times New Roman"/>
        </w:rPr>
        <w:t>TOU</w:t>
        <w:tab/>
        <w:tab/>
        <w:tab/>
        <w:tab/>
        <w:tab/>
        <w:tab/>
        <w:tab/>
        <w:t>Not Real-Time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Air Conditioner Direct Load Control</w:t>
        <w:tab/>
        <w:tab/>
        <w:tab/>
        <w:t>Applies to Smaller Buildings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Capacity Interruptible</w:t>
        <w:tab/>
        <w:tab/>
        <w:tab/>
        <w:tab/>
        <w:tab/>
        <w:t>500 kW minimum load drop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Base Interruptible Program</w:t>
        <w:tab/>
        <w:tab/>
        <w:tab/>
        <w:tab/>
        <w:t>100 kW minimum load drop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OBMC</w:t>
        <w:tab/>
        <w:tab/>
        <w:tab/>
        <w:tab/>
        <w:tab/>
        <w:tab/>
        <w:tab/>
        <w:t>Not designed for many buildings</w:t>
      </w:r>
    </w:p>
    <w:p>
      <w:pPr>
        <w:pStyle w:val="Normal"/>
        <w:rPr>
          <w:rFonts w:ascii="Times New Roman" w:hAnsi="Times New Roman" w:cs="Times New Roman"/>
        </w:rPr>
      </w:pPr>
      <w:r>
        <w:rPr>
          <w:rFonts w:cs="Times New Roman" w:ascii="Times New Roman" w:hAnsi="Times New Roman"/>
        </w:rPr>
        <w:tab/>
        <w:tab/>
        <w:tab/>
        <w:tab/>
        <w:tab/>
        <w:tab/>
        <w:tab/>
        <w:t>on one circuit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Demand Bidding</w:t>
        <w:tab/>
        <w:tab/>
        <w:tab/>
        <w:tab/>
        <w:tab/>
        <w:t>100 kW minimum load drop</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ISO Programs</w:t>
        <w:tab/>
        <w:tab/>
        <w:tab/>
        <w:tab/>
        <w:tab/>
        <w:tab/>
        <w:t>1000 kW minimum (via aggregation)</w:t>
      </w:r>
    </w:p>
    <w:p>
      <w:pPr>
        <w:pStyle w:val="Normal"/>
        <w:spacing w:lineRule="auto" w:line="480"/>
        <w:rPr>
          <w:rFonts w:ascii="Times New Roman" w:hAnsi="Times New Roman" w:cs="Times New Roman"/>
        </w:rPr>
      </w:pPr>
      <w:r>
        <w:rPr>
          <w:rFonts w:cs="Times New Roman" w:ascii="Times New Roman" w:hAnsi="Times New Roman"/>
        </w:rPr>
      </w:r>
    </w:p>
    <w:p>
      <w:pPr>
        <w:pStyle w:val="Normal"/>
        <w:spacing w:lineRule="auto" w:line="480"/>
        <w:ind w:firstLine="720" w:end="0"/>
        <w:rPr/>
      </w:pPr>
      <w:r>
        <w:rPr/>
        <w:t>For such a facility we find Time-of-Use rates as not applicable because they do not provide incremental demand reduction on critical system days.   Most facilities find they can reduce lighting levels and set thermostats slightly higher on a few critical days a year than they could do regularly</w:t>
      </w:r>
      <w:r>
        <w:rPr>
          <w:rStyle w:val="FootnoteCharacters"/>
          <w:rStyle w:val="FootnoteReference"/>
        </w:rPr>
        <w:footnoteReference w:id="7"/>
      </w:r>
      <w:r>
        <w:rPr/>
        <w:t xml:space="preserve">.  The existing capacity interruptible programs are closed to new customers, plus they require a minimum demand reduction of 500 kW.   The Base Interruptible Program requires a minimum of 100 kW – well beyond the 48 kW reach of most customers in this class as reflected by their non-participation in this option to date. The Air Conditioner Load Control programs are offered only to residential and </w:t>
      </w:r>
      <w:r>
        <w:rPr>
          <w:u w:val="single"/>
        </w:rPr>
        <w:t>small</w:t>
      </w:r>
      <w:r>
        <w:rPr/>
        <w:t xml:space="preserve"> commercial customers. </w:t>
      </w:r>
    </w:p>
    <w:p>
      <w:pPr>
        <w:pStyle w:val="Normal"/>
        <w:spacing w:lineRule="auto" w:line="480"/>
        <w:ind w:firstLine="720" w:end="0"/>
        <w:rPr/>
      </w:pPr>
      <w:r>
        <w:rPr/>
        <w:t xml:space="preserve">Eligibility for OBMC requires that the participant be able to reduce load on the </w:t>
      </w:r>
      <w:r>
        <w:rPr>
          <w:u w:val="single"/>
        </w:rPr>
        <w:t>entire circuit</w:t>
      </w:r>
      <w:r>
        <w:rPr/>
        <w:t xml:space="preserve"> for the duration of the outage. As a practical matter, this means that the participant must be receiving service at transmission-level or incredibly successful at aggregating the customers on their circuit.  Few customers in this size range are transmission-level customers. </w:t>
      </w:r>
    </w:p>
    <w:p>
      <w:pPr>
        <w:pStyle w:val="Normal"/>
        <w:spacing w:lineRule="auto" w:line="480"/>
        <w:ind w:firstLine="720" w:end="0"/>
        <w:rPr/>
      </w:pPr>
      <w:r>
        <w:rPr/>
        <w:t>The new DBP requires that the customer be able to bid the greater of 10% of load, or 100 kilowatts per event.  As a practical matter, only a few customers of less than 500 kW would be willing to commit to at least 100 kW load curtailment.   Theoretically, the minimum threshold could be lowered for DBP.  However, DBP requires a greater customer sophistication and attention to these matters, not typically found in this size customer.  Indeed, one of the current obstacles to early marketing efforts of DBP is that customers want a price to know what value to bid – RTP provides such a price.</w:t>
      </w:r>
    </w:p>
    <w:p>
      <w:pPr>
        <w:pStyle w:val="Normal"/>
        <w:spacing w:lineRule="auto" w:line="480"/>
        <w:ind w:firstLine="720" w:end="0"/>
        <w:rPr/>
      </w:pPr>
      <w:r>
        <w:rPr/>
        <w:t xml:space="preserve">The ISO Demand Responsiveness programs require a minimum load reduction of 1000 kW.  This could be obtained only through aggregation for this size customer.  The aggregation requires extra effort.  </w:t>
      </w:r>
    </w:p>
    <w:p>
      <w:pPr>
        <w:pStyle w:val="Normal"/>
        <w:spacing w:lineRule="auto" w:line="480"/>
        <w:ind w:firstLine="720" w:end="0"/>
        <w:rPr/>
      </w:pPr>
      <w:r>
        <w:rPr/>
        <w:t>In summary, the stringent eligibility requirements that the customer be able to bid the greater of 10% of load (15% for BIP) or 100 kilowatts, makes it unlikely that many customers under 500kW will be able to participate.  This has two consequences. One, DBP (and BIP) is not competing for customers in the 200 to 500 kW range. Those customers are unlikely to be able to participate. Two, as shown above, this customer group doesn’t have any real demand reduction options other than RTP. Accordingly, we recommend that the DD be revised to clarify that a customer receiving a meter under AB29X be offered a RTP tariff as a demand reduction program option so that we can capture the 1000 MW potential demand reduction in this state.</w:t>
      </w:r>
    </w:p>
    <w:p>
      <w:pPr>
        <w:pStyle w:val="Normal"/>
        <w:spacing w:lineRule="auto" w:line="480"/>
        <w:ind w:firstLine="720" w:end="0"/>
        <w:rPr/>
      </w:pPr>
      <w:r>
        <w:rPr/>
      </w:r>
    </w:p>
    <w:p>
      <w:pPr>
        <w:pStyle w:val="Heading7"/>
        <w:numPr>
          <w:ilvl w:val="0"/>
          <w:numId w:val="4"/>
        </w:numPr>
        <w:ind w:hanging="0" w:start="0"/>
        <w:rPr/>
      </w:pPr>
      <w:r>
        <w:rPr/>
        <w:t>REVISED RTP TARIFF PROPOSAL</w:t>
      </w:r>
    </w:p>
    <w:p>
      <w:pPr>
        <w:pStyle w:val="Normal"/>
        <w:ind w:start="720" w:end="0"/>
        <w:rPr>
          <w:b/>
        </w:rPr>
      </w:pPr>
      <w:r>
        <w:rPr>
          <w:b/>
        </w:rPr>
        <w:t>A. Recent Developments</w:t>
      </w:r>
    </w:p>
    <w:p>
      <w:pPr>
        <w:pStyle w:val="Normal"/>
        <w:rPr>
          <w:b/>
        </w:rPr>
      </w:pPr>
      <w:r>
        <w:rPr>
          <w:b/>
        </w:rPr>
      </w:r>
    </w:p>
    <w:p>
      <w:pPr>
        <w:pStyle w:val="BodyTextIndent3"/>
        <w:rPr/>
      </w:pPr>
      <w:r>
        <w:rPr/>
        <w:t>Since the CEC proposed its first version of a voluntary RTP tariff, two significant developments have occurred. One, the TOU rate imposed by the CPUC in D. 01-05-064 has nearly doubled the price that end-users pay during on-peak periods. This, in and of itself, will induce load reductions during peak periods. Two, the Federal Energy Regulatory Commission (FERC) rethought the issue of price mitigation measures and decided to impose them. Thus, the high market prices experienced up until May 2001 have disappeared, although they may reappear in October 2002 when the FERC price mitigation measures expire.</w:t>
      </w:r>
    </w:p>
    <w:p>
      <w:pPr>
        <w:pStyle w:val="BodyTextIndent"/>
        <w:spacing w:lineRule="auto" w:line="480"/>
        <w:rPr/>
      </w:pPr>
      <w:r>
        <w:rPr/>
        <w:t xml:space="preserve">Nonetheless, for the next year, the impact of the FERC price mitigation measures is that in “normal” situations the RTP is substantially below the TOU tariff. This is illustrated in Attachment B. So on most days it is the TOU rate, and not the RTP, that will induce load shaving.   But we may still see emergencies and even outages. During these times the “Reliability Adder” (RA) term in DWR’s Real Time Price Offer can induce further load shaving. Indeed, the RA appears to be the only practical incentive to curtail for 8000 MW of medium-sized customers (200-500 kW). </w:t>
      </w:r>
    </w:p>
    <w:p>
      <w:pPr>
        <w:pStyle w:val="BodyTextIndent"/>
        <w:spacing w:lineRule="auto" w:line="480"/>
        <w:rPr/>
      </w:pPr>
      <w:r>
        <w:rPr/>
        <w:t>As a reminder of the Reliability Adder, in our Petition of June 21, page 6 the CEC said, under the heading “II. B. Computation of Real-Time Prices”:</w:t>
      </w:r>
    </w:p>
    <w:p>
      <w:pPr>
        <w:pStyle w:val="BlockText"/>
        <w:ind w:hanging="0" w:end="720"/>
        <w:rPr/>
      </w:pPr>
      <w:r>
        <w:rPr/>
        <w:t>An RTP tariff obviously requires an RTP signal to be operational.  A price signal operating as an incentive to stimulate load reductions attempts to match the avoided cost of generation purchases that would be forgone by virtue of the load reductions stemming from an RTP tariff.  Such a price includes both energy and ancillary service costs that have been avoided.  It may also include adjustments to account for the transmission and distribution losses that have been avoided by a customer-facility load reduction.  It may be specific to a particular location or region if there are congestion costs that make generation more expensive in one location than another.  It may also reflect an adjustment to reflect the value of the load reduction in moderating generation purchase costs for non-participants affected by participant load reductions. Finally, it may be adjusted to incent load reductions to minimize the need for involuntary rotating outages.</w:t>
      </w:r>
    </w:p>
    <w:p>
      <w:pPr>
        <w:pStyle w:val="Normal"/>
        <w:rPr/>
      </w:pPr>
      <w:r>
        <w:rPr/>
      </w:r>
    </w:p>
    <w:p>
      <w:pPr>
        <w:pStyle w:val="Normal"/>
        <w:ind w:start="720" w:end="810"/>
        <w:rPr/>
      </w:pPr>
      <w:r>
        <w:rPr/>
      </w:r>
    </w:p>
    <w:p>
      <w:pPr>
        <w:pStyle w:val="BodyTextIndent"/>
        <w:spacing w:lineRule="auto" w:line="480"/>
        <w:rPr/>
      </w:pPr>
      <w:r>
        <w:rPr/>
        <w:t>It is this upward adjustment that we call the Reliability Adder (RA). It is a feature of the Georgia Power Voluntary RTP Tariff, and was even used some 20 years ago in California and called a “Shortage” term. We envision that, during emergencies, DWR would increase its RTP offer to customers, to induce them to curtail. Thus many buildings, those in the 200-500 kW range, can pre-program their thermostats and their lights to respond automatically to emergency prices of $0.25 to $1.50 per kWh, but would be less likely to respond to TOU on-peak prices every summer day, starting at noon. And, as illustrated, there are no other emergency programs in which they could readily participate.</w:t>
      </w:r>
    </w:p>
    <w:p>
      <w:pPr>
        <w:pStyle w:val="BodyTextIndent"/>
        <w:spacing w:lineRule="auto" w:line="480"/>
        <w:rPr/>
      </w:pPr>
      <w:r>
        <w:rPr/>
        <w:t>Another change that we introduced in the June 21 Petition as Real Time prices headed below the TOU tariff, is the Conservation Incentive. In the second part of the RTP computations, deviations (up or down) from CBL are charged or rewarded at the RTP.  If the customer curtails below his CBL, we want him to be rewarded at the highest possible price (so at the TOU price, if that is the higher of the two).   Thus in our tariff of June 21, Sect. 9D, page 7, we have a Temporary Conservation Incentive accomplishing this through the year 2001. In our final tariff today, July 26, we have extended the sunset date to the end of the FERC price mitigation measures—September 2002.</w:t>
      </w:r>
    </w:p>
    <w:p>
      <w:pPr>
        <w:pStyle w:val="Normal"/>
        <w:spacing w:lineRule="auto" w:line="480"/>
        <w:ind w:firstLine="720" w:end="0"/>
        <w:rPr/>
      </w:pPr>
      <w:r>
        <w:rPr/>
        <w:t xml:space="preserve">This ends our discussion of the current state of our tariff proposal, and how it works during emergencies.    We also point out that it is attractive to customers </w:t>
      </w:r>
      <w:r>
        <w:rPr>
          <w:b/>
        </w:rPr>
        <w:t>off peak</w:t>
      </w:r>
      <w:r>
        <w:rPr/>
        <w:t xml:space="preserve">, when it permits them to buy cheap power above their CBL.    Thus a customer might decide to skip a shift during an emergency, and make it up off peak or a building operator might decide to use cheap morning electricity to pre-cool his building, so as to save more power in a coming afternoon emergency.    </w:t>
      </w:r>
    </w:p>
    <w:p>
      <w:pPr>
        <w:pStyle w:val="Normal"/>
        <w:spacing w:lineRule="auto" w:line="480"/>
        <w:rPr/>
      </w:pPr>
      <w:r>
        <w:rPr/>
        <w:tab/>
        <w:t>Attachment A to these comments is a revised RTP tariff that the CEC recommends be adopted by the CPUC. It is intended as a replacement for the version submitted with the June 21, 2001 Petition to Modify D.01-05-064.  It responds to various comments filed by the UDCs pursuant to the June 21 Petition, discussion at the July 9 workshop, and a negotiation among UDCs and CEC conducted by the Governor’s Office on July 17. Attachment B shows the same information in underline and strike-out version, comparing the new tariff with the June 21 version.</w:t>
      </w:r>
    </w:p>
    <w:p>
      <w:pPr>
        <w:pStyle w:val="Normal"/>
        <w:spacing w:lineRule="auto" w:line="480"/>
        <w:rPr/>
      </w:pPr>
      <w:r>
        <w:rPr/>
        <w:tab/>
        <w:t>The following changes were made to the June 21 RTP Tariff and are now included in the July 26 version:</w:t>
      </w:r>
    </w:p>
    <w:p>
      <w:pPr>
        <w:pStyle w:val="Normal"/>
        <w:ind w:start="720" w:end="0"/>
        <w:rPr/>
      </w:pPr>
      <w:r>
        <w:rPr/>
        <w:t>a. High Reliability Option – this has been eliminated.</w:t>
      </w:r>
    </w:p>
    <w:p>
      <w:pPr>
        <w:pStyle w:val="Normal"/>
        <w:ind w:start="720" w:end="0"/>
        <w:rPr/>
      </w:pPr>
      <w:r>
        <w:rPr/>
      </w:r>
    </w:p>
    <w:p>
      <w:pPr>
        <w:pStyle w:val="Normal"/>
        <w:ind w:start="720" w:end="0"/>
        <w:rPr/>
      </w:pPr>
      <w:r>
        <w:rPr/>
        <w:t>b. CBL Determination Process – numerous changes have been made to tighten this process, eliminate all opportunities for negotiation, and to increase reliance upon recent usage data.</w:t>
      </w:r>
    </w:p>
    <w:p>
      <w:pPr>
        <w:pStyle w:val="Normal"/>
        <w:ind w:start="720" w:end="0"/>
        <w:rPr/>
      </w:pPr>
      <w:r>
        <w:rPr/>
      </w:r>
    </w:p>
    <w:p>
      <w:pPr>
        <w:pStyle w:val="Normal"/>
        <w:ind w:start="720" w:end="0"/>
        <w:rPr/>
      </w:pPr>
      <w:r>
        <w:rPr/>
        <w:t>c. Temporary Conservation Incentive – this concept has been extended in time from its original sunset date of 12/31/2001 to sunset as a result of a condition being satisfied, e.g. the hour when Federal Energy Regulatory Commission’s June 19, 2001 price mitigation measures are rescinded.</w:t>
      </w:r>
    </w:p>
    <w:p>
      <w:pPr>
        <w:pStyle w:val="Normal"/>
        <w:ind w:start="720" w:end="0"/>
        <w:rPr/>
      </w:pPr>
      <w:r>
        <w:rPr/>
      </w:r>
    </w:p>
    <w:p>
      <w:pPr>
        <w:pStyle w:val="BodyTextIndent"/>
        <w:ind w:hanging="0" w:start="720" w:end="0"/>
        <w:rPr/>
      </w:pPr>
      <w:r>
        <w:rPr/>
        <w:t>d. Interaction with Other Programs – PG&amp;E’s alternative language governing interaction of RTP participant computations with other demand responsiveness programs has been included.</w:t>
      </w:r>
    </w:p>
    <w:p>
      <w:pPr>
        <w:pStyle w:val="Normal"/>
        <w:ind w:start="720" w:end="0"/>
        <w:rPr/>
      </w:pPr>
      <w:r>
        <w:rPr/>
      </w:r>
    </w:p>
    <w:p>
      <w:pPr>
        <w:pStyle w:val="Normal"/>
        <w:ind w:start="720" w:end="0"/>
        <w:rPr/>
      </w:pPr>
      <w:r>
        <w:rPr/>
        <w:t>e. Language Cleanups – numerous language cleanups have been included, largely those proposed by PG&amp;E in their technical comments dated June 26, 2001.</w:t>
      </w:r>
    </w:p>
    <w:p>
      <w:pPr>
        <w:pStyle w:val="Normal"/>
        <w:spacing w:lineRule="auto" w:line="480"/>
        <w:ind w:firstLine="720" w:end="0"/>
        <w:rPr/>
      </w:pPr>
      <w:r>
        <w:rPr/>
        <w:t>The consequence of these changes is to reduce the administrative complexity of the CBL determination process, ensure that RTP tariff participants focus on response to especially high RTPO values signaling a need for reliability-based load reductions, and to reduce the proportion of end-users likely to be eligible and willing to participate.  Nonetheless, these changes produce a revised RTP tariff that the CEC believes is a good first step, but not the last step, for the introduction of RTP to California, and that UDCs can support.</w:t>
      </w:r>
    </w:p>
    <w:p>
      <w:pPr>
        <w:pStyle w:val="Normal"/>
        <w:spacing w:lineRule="auto" w:line="480"/>
        <w:ind w:firstLine="720" w:end="0"/>
        <w:rPr/>
      </w:pPr>
      <w:r>
        <w:rPr/>
      </w:r>
    </w:p>
    <w:p>
      <w:pPr>
        <w:pStyle w:val="Heading7"/>
        <w:numPr>
          <w:ilvl w:val="0"/>
          <w:numId w:val="4"/>
        </w:numPr>
        <w:ind w:hanging="0" w:start="0"/>
        <w:rPr/>
      </w:pPr>
      <w:r>
        <w:rPr/>
        <w:t>MID-TERM AND LONG-TERM CONSIDERATIONS</w:t>
      </w:r>
    </w:p>
    <w:p>
      <w:pPr>
        <w:pStyle w:val="Heading7"/>
        <w:numPr>
          <w:ilvl w:val="0"/>
          <w:numId w:val="3"/>
        </w:numPr>
        <w:rPr>
          <w:u w:val="single"/>
        </w:rPr>
      </w:pPr>
      <w:r>
        <w:rPr>
          <w:u w:val="single"/>
        </w:rPr>
        <w:t>Statutory Requirements</w:t>
      </w:r>
    </w:p>
    <w:p>
      <w:pPr>
        <w:pStyle w:val="Normal"/>
        <w:spacing w:lineRule="auto" w:line="480"/>
        <w:ind w:firstLine="720" w:end="0"/>
        <w:rPr/>
      </w:pPr>
      <w:r>
        <w:rPr/>
        <w:t>Under Senate Bill 28 of the First Extraordinary Session,</w:t>
      </w:r>
      <w:r>
        <w:rPr>
          <w:rStyle w:val="FootnoteCharacters"/>
          <w:rStyle w:val="FootnoteReference"/>
        </w:rPr>
        <w:footnoteReference w:id="8"/>
      </w:r>
      <w:r>
        <w:rPr/>
        <w:t xml:space="preserve"> the CPUC is mandated to adopt a real-time pricing tariff for certain customers with distributed energy resources.</w:t>
      </w:r>
      <w:r>
        <w:rPr>
          <w:rStyle w:val="FootnoteCharacters"/>
          <w:rStyle w:val="FootnoteReference"/>
        </w:rPr>
        <w:footnoteReference w:id="9"/>
      </w:r>
      <w:r>
        <w:rPr/>
        <w:t xml:space="preserve"> Toward this end, the CPUC has been working with the CEC, the </w:t>
      </w:r>
      <w:r>
        <w:rPr>
          <w:color w:val="000000"/>
        </w:rPr>
        <w:t>UDCs, the DWR, the ISO and other agencies.  Clearly, the experience gained from early implementation of a RTP tariff will be instructive in meeting this mandate, which is only five months away.</w:t>
      </w:r>
    </w:p>
    <w:p>
      <w:pPr>
        <w:pStyle w:val="Normal"/>
        <w:ind w:firstLine="720" w:end="0"/>
        <w:rPr>
          <w:color w:val="000000"/>
        </w:rPr>
      </w:pPr>
      <w:r>
        <w:rPr>
          <w:color w:val="000000"/>
        </w:rPr>
      </w:r>
    </w:p>
    <w:p>
      <w:pPr>
        <w:pStyle w:val="Heading9"/>
        <w:numPr>
          <w:ilvl w:val="0"/>
          <w:numId w:val="3"/>
        </w:numPr>
        <w:ind w:hanging="0" w:start="0"/>
        <w:rPr/>
      </w:pPr>
      <w:r>
        <w:rPr/>
        <w:t>The Significance of the New Meters</w:t>
      </w:r>
    </w:p>
    <w:p>
      <w:pPr>
        <w:pStyle w:val="Normal"/>
        <w:rPr>
          <w:b/>
          <w:u w:val="single"/>
        </w:rPr>
      </w:pPr>
      <w:r>
        <w:rPr>
          <w:b/>
          <w:u w:val="single"/>
        </w:rPr>
      </w:r>
    </w:p>
    <w:p>
      <w:pPr>
        <w:pStyle w:val="BodyTextIndent"/>
        <w:spacing w:lineRule="auto" w:line="480"/>
        <w:rPr/>
      </w:pPr>
      <w:r>
        <w:rPr/>
        <w:t>With the deployment of 20,000 new or upgraded meters under AB29X, California can now offer real-time price and emergency response programs to customers representing 13,000 mW of load, or about one-fourth of total demand.</w:t>
      </w:r>
      <w:r>
        <w:rPr>
          <w:rStyle w:val="FootnoteCharacters"/>
          <w:rStyle w:val="FootnoteReference"/>
        </w:rPr>
        <w:footnoteReference w:id="10"/>
      </w:r>
      <w:r>
        <w:rPr/>
        <w:t xml:space="preserve">  With this data, and the ability to implement, we can now consider major, long-range changes in tariffs.</w:t>
      </w:r>
    </w:p>
    <w:p>
      <w:pPr>
        <w:pStyle w:val="BodyTextIndent3"/>
        <w:rPr/>
      </w:pPr>
      <w:r>
        <w:rPr/>
      </w:r>
    </w:p>
    <w:p>
      <w:pPr>
        <w:pStyle w:val="Heading4"/>
        <w:numPr>
          <w:ilvl w:val="0"/>
          <w:numId w:val="4"/>
        </w:numPr>
        <w:rPr/>
      </w:pPr>
      <w:r>
        <w:rPr/>
        <w:t>THE NATIONAL EXPERIENCE</w:t>
      </w:r>
    </w:p>
    <w:p>
      <w:pPr>
        <w:pStyle w:val="Normal"/>
        <w:rPr/>
      </w:pPr>
      <w:r>
        <w:rPr/>
      </w:r>
    </w:p>
    <w:p>
      <w:pPr>
        <w:pStyle w:val="BodyTextIndent"/>
        <w:spacing w:lineRule="auto" w:line="480"/>
        <w:rPr/>
      </w:pPr>
      <w:r>
        <w:rPr/>
        <w:t>The CEC methodically reviewed current, prior and planned RTP programs across the country in order to learn from the experience of energy agencies, researchers and utilities.  The national experience supports a two-part tariff, with the Georgia Power Company (GP) version as the most prominent success story. This was the option selected because of its longevity, continuity, customer acceptance and results. As previously shown in testimony in this proceeding,</w:t>
      </w:r>
      <w:r>
        <w:rPr>
          <w:rStyle w:val="FootnoteCharacters"/>
          <w:rStyle w:val="FootnoteReference"/>
        </w:rPr>
        <w:footnoteReference w:id="11"/>
      </w:r>
      <w:r>
        <w:rPr/>
        <w:t xml:space="preserve"> the GP RTP Program has been in place over ten years, with a customer base of 5,000 megawatts and an operational load reduction capability of 800 megawatts. </w:t>
        <w:tab/>
        <w:t>One-part voluntary tariffs, such as that proposed by SDG&amp;E, have been tried, then discarded, due to lack of customer acceptance. Both the CPUC and the CEC envision, eventually, a mandatory RTP with an emergency “adder” that will handle both reliability and normal demand response to price, but this completely new rate design will require months of proposals and hearings.</w:t>
      </w:r>
    </w:p>
    <w:p>
      <w:pPr>
        <w:pStyle w:val="BodyTextIndent"/>
        <w:spacing w:lineRule="auto" w:line="480"/>
        <w:rPr/>
      </w:pPr>
      <w:r>
        <w:rPr/>
      </w:r>
    </w:p>
    <w:p>
      <w:pPr>
        <w:pStyle w:val="BodyTextIndent"/>
        <w:numPr>
          <w:ilvl w:val="0"/>
          <w:numId w:val="4"/>
        </w:numPr>
        <w:rPr>
          <w:b/>
        </w:rPr>
      </w:pPr>
      <w:r>
        <w:rPr>
          <w:b/>
        </w:rPr>
        <w:t>GUIDELINES FOR RATE DESIGN</w:t>
      </w:r>
    </w:p>
    <w:p>
      <w:pPr>
        <w:pStyle w:val="BodyTextIndent"/>
        <w:rPr>
          <w:b/>
        </w:rPr>
      </w:pPr>
      <w:r>
        <w:rPr>
          <w:b/>
        </w:rPr>
      </w:r>
    </w:p>
    <w:p>
      <w:pPr>
        <w:pStyle w:val="BodyTextIndent"/>
        <w:spacing w:lineRule="auto" w:line="480"/>
        <w:rPr/>
      </w:pPr>
      <w:r>
        <w:rPr/>
        <w:t>The DD states that the broad policy guidelines established in D.01-05-064 are equally applicable to the development of any RTP proposal (p. 15-16). The CPUC stated in that earlier decision:</w:t>
      </w:r>
    </w:p>
    <w:p>
      <w:pPr>
        <w:pStyle w:val="quote"/>
        <w:rPr>
          <w:rFonts w:ascii="Arial" w:hAnsi="Arial" w:cs="Arial"/>
          <w:sz w:val="24"/>
        </w:rPr>
      </w:pPr>
      <w:r>
        <w:rPr>
          <w:rFonts w:cs="Arial" w:ascii="Arial" w:hAnsi="Arial"/>
          <w:sz w:val="24"/>
        </w:rPr>
        <w:t>Today we adopt a rate design to achieve the following objectives: (1) reduce energy consumption and thereby reduce California’s liability for exorbitant wholesale power purchases; (2) allocate these wholesale electricity purchase costs fairly among customers, consistent with statutory mandates; (3) protect the most vulnerable customers; (4) minimize the extent to which individual customers experience extreme hardship; and (5) provide customers with ways to manage their energy usage and reduce their energy bills.</w:t>
      </w:r>
    </w:p>
    <w:p>
      <w:pPr>
        <w:pStyle w:val="standard"/>
        <w:spacing w:lineRule="auto" w:line="480"/>
        <w:rPr>
          <w:rFonts w:ascii="Arial" w:hAnsi="Arial" w:cs="Arial"/>
          <w:sz w:val="24"/>
        </w:rPr>
      </w:pPr>
      <w:r>
        <w:rPr>
          <w:rFonts w:cs="Arial" w:ascii="Arial" w:hAnsi="Arial"/>
          <w:sz w:val="24"/>
        </w:rPr>
        <w:t>The DD states that:</w:t>
      </w:r>
    </w:p>
    <w:p>
      <w:pPr>
        <w:pStyle w:val="standard"/>
        <w:spacing w:lineRule="auto" w:line="240"/>
        <w:ind w:start="720" w:end="720"/>
        <w:rPr>
          <w:rFonts w:ascii="Arial" w:hAnsi="Arial" w:cs="Arial"/>
          <w:sz w:val="24"/>
        </w:rPr>
      </w:pPr>
      <w:r>
        <w:rPr>
          <w:rFonts w:cs="Arial" w:ascii="Arial" w:hAnsi="Arial"/>
          <w:sz w:val="24"/>
        </w:rPr>
        <w:t>The major focus of real-time pricing is clearly achievement of the last goal of providing customers with “ways to manage and reduce their energy bills,” although any real-time pricing proposal must address the other criteria as well.</w:t>
      </w:r>
    </w:p>
    <w:p>
      <w:pPr>
        <w:pStyle w:val="standard"/>
        <w:spacing w:lineRule="auto" w:line="240"/>
        <w:ind w:start="720" w:end="720"/>
        <w:rPr>
          <w:rFonts w:ascii="Arial" w:hAnsi="Arial" w:cs="Arial"/>
          <w:sz w:val="24"/>
        </w:rPr>
      </w:pPr>
      <w:r>
        <w:rPr>
          <w:rFonts w:cs="Arial" w:ascii="Arial" w:hAnsi="Arial"/>
          <w:sz w:val="24"/>
        </w:rPr>
      </w:r>
    </w:p>
    <w:p>
      <w:pPr>
        <w:pStyle w:val="standard"/>
        <w:spacing w:lineRule="auto" w:line="240"/>
        <w:ind w:start="720" w:end="720"/>
        <w:rPr>
          <w:rFonts w:ascii="Arial" w:hAnsi="Arial" w:cs="Arial"/>
          <w:sz w:val="24"/>
        </w:rPr>
      </w:pPr>
      <w:r>
        <w:rPr>
          <w:rFonts w:cs="Arial" w:ascii="Arial" w:hAnsi="Arial"/>
          <w:sz w:val="24"/>
        </w:rPr>
      </w:r>
    </w:p>
    <w:p>
      <w:pPr>
        <w:pStyle w:val="standard"/>
        <w:spacing w:lineRule="auto" w:line="480"/>
        <w:ind w:end="720"/>
        <w:rPr/>
      </w:pPr>
      <w:r>
        <w:rPr>
          <w:rFonts w:cs="Arial" w:ascii="Arial" w:hAnsi="Arial"/>
          <w:sz w:val="24"/>
        </w:rPr>
        <w:t xml:space="preserve">The CEC submits that the major focus of RTP is the </w:t>
      </w:r>
      <w:r>
        <w:rPr>
          <w:rFonts w:cs="Arial" w:ascii="Arial" w:hAnsi="Arial"/>
          <w:sz w:val="24"/>
          <w:u w:val="single"/>
        </w:rPr>
        <w:t>first</w:t>
      </w:r>
      <w:r>
        <w:rPr>
          <w:rFonts w:cs="Arial" w:ascii="Arial" w:hAnsi="Arial"/>
          <w:sz w:val="24"/>
        </w:rPr>
        <w:t xml:space="preserve"> goal: reduce energy consumption and thereby reduce California’s liability for exorbitant wholesale power purchases. Additionally, RTP meets the second goal of “fairness” through the two-part tariff design. Goals three and four do not apply for large commercial classes. Goal five is best met by simultaneously deploying metering technology and offering the RTP tariff.</w:t>
      </w:r>
    </w:p>
    <w:p>
      <w:pPr>
        <w:pStyle w:val="Hangingindent"/>
        <w:spacing w:lineRule="auto" w:line="480"/>
        <w:ind w:firstLine="720" w:start="0" w:end="0"/>
        <w:rPr/>
      </w:pPr>
      <w:r>
        <w:rPr/>
        <w:t xml:space="preserve">The CEC previously advocated for a sixth goal: </w:t>
      </w:r>
      <w:r>
        <w:rPr>
          <w:u w:val="single"/>
        </w:rPr>
        <w:t>reliaiblity</w:t>
      </w:r>
      <w:r>
        <w:rPr/>
        <w:t>.</w:t>
      </w:r>
      <w:r>
        <w:rPr>
          <w:rStyle w:val="FootnoteCharacters"/>
          <w:rStyle w:val="FootnoteReference"/>
        </w:rPr>
        <w:footnoteReference w:id="12"/>
      </w:r>
      <w:r>
        <w:rPr/>
        <w:t xml:space="preserve">  </w:t>
      </w:r>
      <w:r>
        <w:rPr>
          <w:color w:val="000000"/>
          <w:lang w:val="en-US"/>
        </w:rPr>
        <w:t>“Reliability” within the context of electricity production, refers to the production, transmission and distribution of electricity free from system outages. In other words, ensuring that demand does not exceed supply and having enough electricity to keep the lights on.  This is briefly acknowledged in the DD (p. 17).</w:t>
      </w:r>
    </w:p>
    <w:p>
      <w:pPr>
        <w:pStyle w:val="Hangingindent"/>
        <w:spacing w:lineRule="auto" w:line="480"/>
        <w:ind w:firstLine="720" w:start="0" w:end="0"/>
        <w:rPr/>
      </w:pPr>
      <w:r>
        <w:rPr>
          <w:color w:val="000000"/>
          <w:lang w:val="en-US"/>
        </w:rPr>
        <w:t xml:space="preserve">The state has a goal of ensuring a </w:t>
      </w:r>
      <w:r>
        <w:rPr>
          <w:color w:val="000000"/>
          <w:u w:val="single"/>
          <w:lang w:val="en-US"/>
        </w:rPr>
        <w:t>reliable</w:t>
      </w:r>
      <w:r>
        <w:rPr>
          <w:color w:val="000000"/>
          <w:lang w:val="en-US"/>
        </w:rPr>
        <w:t xml:space="preserve"> supply of electrical energy.</w:t>
      </w:r>
      <w:r>
        <w:rPr>
          <w:rStyle w:val="FootnoteCharacters"/>
          <w:rStyle w:val="FootnoteReference"/>
          <w:color w:val="000000"/>
          <w:lang w:val="en-US"/>
        </w:rPr>
        <w:footnoteReference w:id="13"/>
      </w:r>
      <w:r>
        <w:rPr>
          <w:color w:val="000000"/>
          <w:lang w:val="en-US"/>
        </w:rPr>
        <w:t xml:space="preserve">   Conservation tracks with reliability, but not always. The CEC advocated that the CPUC evaluate the various rate proposals in terms of their effectiveness at enhancing the reliability of the state’s electricity system by reducing load at the times when market prices are the highest.  Among rate designs, RTP is the most effective at enhancing reliability. </w:t>
      </w:r>
    </w:p>
    <w:p>
      <w:pPr>
        <w:pStyle w:val="main"/>
        <w:spacing w:lineRule="auto" w:line="480"/>
        <w:ind w:firstLine="720" w:end="0"/>
        <w:jc w:val="start"/>
        <w:rPr/>
      </w:pPr>
      <w:r>
        <w:rPr>
          <w:rFonts w:cs="Arial" w:ascii="Arial" w:hAnsi="Arial"/>
          <w:b w:val="false"/>
          <w:color w:val="000000"/>
          <w:sz w:val="24"/>
          <w:lang w:val="en-US"/>
        </w:rPr>
        <w:t xml:space="preserve">Also articulated in the DD is the idea that customers should “know in advance how the prices will be calculated…to allow them to better plan and forecast periods when energy prices may be high and to respond accordingly” (p. 16). What is important to the customers is not the </w:t>
      </w:r>
      <w:r>
        <w:rPr>
          <w:rFonts w:cs="Arial" w:ascii="Arial" w:hAnsi="Arial"/>
          <w:b w:val="false"/>
          <w:color w:val="000000"/>
          <w:sz w:val="24"/>
          <w:u w:val="single"/>
          <w:lang w:val="en-US"/>
        </w:rPr>
        <w:t>methodology</w:t>
      </w:r>
      <w:r>
        <w:rPr>
          <w:rFonts w:cs="Arial" w:ascii="Arial" w:hAnsi="Arial"/>
          <w:b w:val="false"/>
          <w:color w:val="000000"/>
          <w:sz w:val="24"/>
          <w:lang w:val="en-US"/>
        </w:rPr>
        <w:t xml:space="preserve"> used to establish the price, but the price itself. The CEC’s proposed program design called for Day Ahead posted prices by 4:00 p.m. of the preceding day to ensure that participants are fully knowledgeable about RTP values governing program costs for the next day. Further, those prices were to be the ones used for actual program costs computations, further ensuring customer behavior.</w:t>
      </w:r>
    </w:p>
    <w:p>
      <w:pPr>
        <w:pStyle w:val="standard"/>
        <w:spacing w:lineRule="auto" w:line="240"/>
        <w:ind w:end="720"/>
        <w:rPr>
          <w:rFonts w:ascii="Arial" w:hAnsi="Arial" w:cs="Arial"/>
          <w:b/>
          <w:color w:val="000000"/>
          <w:sz w:val="24"/>
          <w:u w:val="single"/>
          <w:lang w:val="en-US"/>
        </w:rPr>
      </w:pPr>
      <w:r>
        <w:rPr>
          <w:rFonts w:cs="Arial" w:ascii="Arial" w:hAnsi="Arial"/>
          <w:b/>
          <w:color w:val="000000"/>
          <w:sz w:val="24"/>
          <w:u w:val="single"/>
          <w:lang w:val="en-US"/>
        </w:rPr>
      </w:r>
    </w:p>
    <w:p>
      <w:pPr>
        <w:pStyle w:val="BodyTextIndent"/>
        <w:numPr>
          <w:ilvl w:val="0"/>
          <w:numId w:val="4"/>
        </w:numPr>
        <w:rPr>
          <w:b/>
        </w:rPr>
      </w:pPr>
      <w:r>
        <w:rPr>
          <w:b/>
        </w:rPr>
        <w:t>THE CEC’s RTP TARIFF DESIGN</w:t>
      </w:r>
    </w:p>
    <w:p>
      <w:pPr>
        <w:pStyle w:val="BodyTextIndent"/>
        <w:rPr>
          <w:b/>
        </w:rPr>
      </w:pPr>
      <w:r>
        <w:rPr>
          <w:b/>
        </w:rPr>
      </w:r>
    </w:p>
    <w:p>
      <w:pPr>
        <w:pStyle w:val="BodyTextIndent"/>
        <w:spacing w:lineRule="auto" w:line="480"/>
        <w:rPr/>
      </w:pPr>
      <w:r>
        <w:rPr/>
        <w:t xml:space="preserve">This section addresses the purported deficiencies of the CEC’s RTP tariff. As noted, some of these concerns may have already been met with the recent revisions to this tariff. </w:t>
      </w:r>
      <w:r>
        <w:rPr>
          <w:color w:val="000000"/>
        </w:rPr>
        <w:t>As to the remaining concerns, the CEC believes that they will be resolved by the additional information provided.</w:t>
      </w:r>
      <w:r>
        <w:rPr/>
        <w:t xml:space="preserve"> </w:t>
      </w:r>
    </w:p>
    <w:p>
      <w:pPr>
        <w:pStyle w:val="BodyTextIndent"/>
        <w:rPr>
          <w:b/>
          <w:u w:val="single"/>
        </w:rPr>
      </w:pPr>
      <w:r>
        <w:rPr>
          <w:b/>
          <w:u w:val="single"/>
        </w:rPr>
        <w:t>A. The Reality of Price</w:t>
      </w:r>
    </w:p>
    <w:p>
      <w:pPr>
        <w:pStyle w:val="BodyTextIndent"/>
        <w:ind w:hanging="0" w:start="720" w:end="0"/>
        <w:rPr>
          <w:b/>
          <w:u w:val="single"/>
        </w:rPr>
      </w:pPr>
      <w:r>
        <w:rPr>
          <w:b/>
          <w:u w:val="single"/>
        </w:rPr>
      </w:r>
    </w:p>
    <w:p>
      <w:pPr>
        <w:pStyle w:val="Heading3"/>
        <w:ind w:hanging="0" w:start="720" w:end="0"/>
        <w:rPr/>
      </w:pPr>
      <w:r>
        <w:rPr/>
        <w:t>A.1. The “Real-Time Price” isn’t “Real”</w:t>
      </w:r>
    </w:p>
    <w:p>
      <w:pPr>
        <w:pStyle w:val="Normal"/>
        <w:rPr/>
      </w:pPr>
      <w:r>
        <w:rPr/>
      </w:r>
    </w:p>
    <w:p>
      <w:pPr>
        <w:pStyle w:val="Normal"/>
        <w:spacing w:lineRule="auto" w:line="480"/>
        <w:ind w:firstLine="720" w:end="0"/>
        <w:rPr/>
      </w:pPr>
      <w:r>
        <w:rPr/>
        <w:t>Our proposed price offer, quoted above, is designed to reflect accurately all the current-hour avoided costs of DWR plus the ISO; these are the same costs as are now passed on to the utilities.   The day ahead offer of 24 price offers will be almost as accurate and in any case not biased up or down.    The DWR will slightly fuzz or mask these prices so as not to give merchant power plants all details of its intentions, but again the masking will not be biased over billing periods.  This is analogous to the military practice, until recently, of degrading the accuracy of global positioning information to civilians.  The only new term is the reliability adder, which is just as “real” as the offer of an incentive--say $.50 cents per kWh--in the other demand relief or demand bidding programs.</w:t>
      </w:r>
    </w:p>
    <w:p>
      <w:pPr>
        <w:pStyle w:val="Normal"/>
        <w:rPr/>
      </w:pPr>
      <w:r>
        <w:rPr/>
      </w:r>
    </w:p>
    <w:p>
      <w:pPr>
        <w:pStyle w:val="Normal"/>
        <w:spacing w:lineRule="auto" w:line="480"/>
        <w:ind w:firstLine="720" w:end="0"/>
        <w:rPr/>
      </w:pPr>
      <w:r>
        <w:rPr/>
        <w:t xml:space="preserve">The “real” price in the RTP proposal is a proxy, consisting of an estimate of the opportunity cost to CDWR for purchasing power in real time or near real time and an estimate of the reliability value of load reductions. The proposed RTP pricing methodology uses short run energy procurement costs, ISO imbalance costs, ISO ancillary services costs, the value of demand reductions to reduce aggregate energy procurement costs for bundled service customers and additional incentives to ensure system reliability.  An inter-agency working group including representatives of the DWR/CERS, ISO, Electricity Oversight Board, CEC, and CPUC are striving to develop an implementable RTPO methodology.  DWR/CERS insists on a masking factor to ensure that its average Day Ahead energy purchase costs not be revealed to the generators that it bids against.  Among the methodologies proposed in this group to address this issue is the use of publicly posted indices such as COB and Palo Verde widely cited in the trade media.  Preservation of DWR/CERS confidentiality requirements inherently conflicts with full and immediate transparency.  There is no reason to believe, however, that a proxy method cannot be devised that is statistically unbiased compared to actual avoided energy costs, nor that its results cannot be readily audited by the CPUC to ensure this fact. For the foregoing reasons noted above, the CEC believes this is a practical approach to meeting the principle of “transparency” advocated in the DD (p. 16). </w:t>
      </w:r>
    </w:p>
    <w:p>
      <w:pPr>
        <w:pStyle w:val="BodyTextIndent"/>
        <w:spacing w:lineRule="auto" w:line="480"/>
        <w:rPr/>
      </w:pPr>
      <w:r>
        <w:rPr/>
        <w:t>Implicit in the critique of the DD (p. 8) is the notion that the CEC proposal is not flawed because it is not “real time.”  The CEC’s RTP proposal is designed to use a “Day Ahead” construct because this is the logical starting point for RTP tariffs.  Both end-user participants and RTP program operators need the “slack” that a Day Ahead RTP tariff permits.  End-users with no RTP experience need the comfort of advance scheduling of building operating parameters and manufacturing schedule changes.  Accurate computation and posting of RTPO values by DWR/CERS and/or ISO is more readily achieved for a day ahead RTP program than one on a near real time basis.  Once experience is gathered with a day ahead RTP program, then a near real time version can be added.  Once again, this is the pattern used successfully by Georgia Power for their RTP program.</w:t>
      </w:r>
    </w:p>
    <w:p>
      <w:pPr>
        <w:pStyle w:val="Normal"/>
        <w:jc w:val="center"/>
        <w:rPr>
          <w:b/>
        </w:rPr>
      </w:pPr>
      <w:r>
        <w:rPr>
          <w:b/>
        </w:rPr>
      </w:r>
    </w:p>
    <w:p>
      <w:pPr>
        <w:pStyle w:val="BodyText3"/>
        <w:ind w:hanging="720" w:start="1440" w:end="0"/>
        <w:rPr/>
      </w:pPr>
      <w:r>
        <w:rPr/>
        <w:t>A. 2.</w:t>
        <w:tab/>
        <w:t>The CEC’s RTP Proposal would cause the CPUC to delegate ratemaking</w:t>
      </w:r>
    </w:p>
    <w:p>
      <w:pPr>
        <w:pStyle w:val="BodyText3"/>
        <w:ind w:hanging="720" w:start="720" w:end="0"/>
        <w:rPr/>
      </w:pPr>
      <w:r>
        <w:rPr/>
      </w:r>
    </w:p>
    <w:p>
      <w:pPr>
        <w:pStyle w:val="main"/>
        <w:spacing w:lineRule="auto" w:line="480"/>
        <w:jc w:val="start"/>
        <w:rPr/>
      </w:pPr>
      <w:r>
        <w:rPr>
          <w:rFonts w:cs="Arial" w:ascii="Arial" w:hAnsi="Arial"/>
          <w:b w:val="false"/>
          <w:color w:val="000000"/>
          <w:sz w:val="24"/>
          <w:lang w:val="en-US"/>
        </w:rPr>
        <w:tab/>
        <w:t xml:space="preserve">There is a comment in the DD that reliance on a methodology for calculating hourly prices developed by entities outside the CPUC would be a delegation of ratemaking authority under Public Utilities Code Section 451 (p. 9). This premise would, in effect, apply to </w:t>
      </w:r>
      <w:r>
        <w:rPr>
          <w:rFonts w:cs="Arial" w:ascii="Arial" w:hAnsi="Arial"/>
          <w:b w:val="false"/>
          <w:color w:val="000000"/>
          <w:sz w:val="24"/>
          <w:u w:val="single"/>
          <w:lang w:val="en-US"/>
        </w:rPr>
        <w:t>any</w:t>
      </w:r>
      <w:r>
        <w:rPr>
          <w:rFonts w:cs="Arial" w:ascii="Arial" w:hAnsi="Arial"/>
          <w:b w:val="false"/>
          <w:color w:val="000000"/>
          <w:sz w:val="24"/>
          <w:lang w:val="en-US"/>
        </w:rPr>
        <w:t xml:space="preserve"> RTP proposal unless the CPUC decided to meet daily at 3:00 p.m. and post prices for the Day-Ahead market. Moreover, it is at odds with recent post-rate freeze billings in the San Diego Gas and Electric (SDG&amp;E) service territory.  From July 1, 1999 to September 6, 2000, 40% of the SDG&amp;E customers’ bills, including those of residential customers, was based on prices computed and posted by the now-defunct Power Exchange with no advance approval by the CPUC. </w:t>
      </w:r>
    </w:p>
    <w:p>
      <w:pPr>
        <w:pStyle w:val="main"/>
        <w:spacing w:lineRule="auto" w:line="480"/>
        <w:jc w:val="start"/>
        <w:rPr>
          <w:rFonts w:ascii="Arial" w:hAnsi="Arial" w:cs="Arial"/>
          <w:b w:val="false"/>
          <w:color w:val="000000"/>
          <w:sz w:val="24"/>
          <w:lang w:val="en-US"/>
        </w:rPr>
      </w:pPr>
      <w:r>
        <w:rPr>
          <w:rFonts w:cs="Arial" w:ascii="Arial" w:hAnsi="Arial"/>
          <w:b w:val="false"/>
          <w:color w:val="000000"/>
          <w:sz w:val="24"/>
          <w:lang w:val="en-US"/>
        </w:rPr>
        <w:tab/>
        <w:t>The Demand Bidding Program adopted by D.01-07-025 has a parallel set of consequences for both the end-users participating and the ratepayers who pay the costs of the program.  The incentives paid by the DBP participants vary by the price level that DWR/CERS chooses to accept.  No clear criteria for guiding these choices have been posted by DWR/CERS or imposed by the CPUC.  The total cost of the incentives paid by DWR/CERS, which will be paid by ratepayers as part of DWR/CERS Power Fund revenue requirements, could vary dramatically with no control by the CPUC.  Since they are included in the DWR/CPUC Rate Agreement, there is no opportunity for the CPUC to review or challenge costs incurred by DWR.</w:t>
      </w:r>
    </w:p>
    <w:p>
      <w:pPr>
        <w:pStyle w:val="main"/>
        <w:jc w:val="start"/>
        <w:rPr>
          <w:rFonts w:ascii="Arial" w:hAnsi="Arial" w:cs="Arial"/>
          <w:b w:val="false"/>
          <w:color w:val="000000"/>
          <w:sz w:val="24"/>
          <w:lang w:val="en-US"/>
        </w:rPr>
      </w:pPr>
      <w:r>
        <w:rPr>
          <w:rFonts w:cs="Arial" w:ascii="Arial" w:hAnsi="Arial"/>
          <w:b w:val="false"/>
          <w:color w:val="000000"/>
          <w:sz w:val="24"/>
          <w:lang w:val="en-US"/>
        </w:rPr>
      </w:r>
    </w:p>
    <w:p>
      <w:pPr>
        <w:pStyle w:val="Heading3"/>
        <w:ind w:firstLine="720" w:start="0" w:end="0"/>
        <w:rPr>
          <w:u w:val="single"/>
        </w:rPr>
      </w:pPr>
      <w:r>
        <w:rPr>
          <w:u w:val="single"/>
        </w:rPr>
        <w:t>B. The Calculation for Customer Baseline Load is Complex</w:t>
      </w:r>
    </w:p>
    <w:p>
      <w:pPr>
        <w:pStyle w:val="Normal"/>
        <w:jc w:val="both"/>
        <w:rPr>
          <w:u w:val="single"/>
        </w:rPr>
      </w:pPr>
      <w:r>
        <w:rPr>
          <w:u w:val="single"/>
        </w:rPr>
      </w:r>
    </w:p>
    <w:p>
      <w:pPr>
        <w:pStyle w:val="BodyTextIndent2"/>
        <w:spacing w:lineRule="auto" w:line="480"/>
        <w:jc w:val="start"/>
        <w:rPr/>
      </w:pPr>
      <w:r>
        <w:rPr/>
        <w:t xml:space="preserve">The DD states that the calculation of the Customer Baseline Load (CBL) is complex and may be subject to “gaming” so that an artificially high CBL is established (p. 9-11).  The CBL as now proposed by the CEC seems less complex than the 10-day rolling average, used in other demand reduction bidding programs, which will change every day. Moreover, the RTP CBL is established once, with very limited opportunity for change.  </w:t>
      </w:r>
    </w:p>
    <w:p>
      <w:pPr>
        <w:pStyle w:val="BodyTextIndent2"/>
        <w:spacing w:lineRule="auto" w:line="480"/>
        <w:jc w:val="start"/>
        <w:rPr/>
      </w:pPr>
      <w:r>
        <w:rPr/>
        <w:tab/>
        <w:t>The July 26 draft eliminates any negotiation options that were included in the June 21 version. Further the two-step CBL computation is now fully adjusted for behavior of the customer.  Given that the CBL is based on historic consumption patterns for which the UDC has a record, and the modifications noted, the CEC does not believe that the CBL could be “gamed.”</w:t>
      </w:r>
    </w:p>
    <w:p>
      <w:pPr>
        <w:pStyle w:val="BodyTextIndent2"/>
        <w:spacing w:lineRule="auto" w:line="480"/>
        <w:jc w:val="start"/>
        <w:rPr/>
      </w:pPr>
      <w:r>
        <w:rPr/>
        <w:t>The July 26 draft essentially eliminates any negotiation options that were included in the June 21 version. Further, the two-step CBL computation is now fully adjusted for behavior of the customer.  Given that the CBL is based on historic consumption patterns for which the UDC has a record, and the modifications noted, the CEC does not believe that the CBL could be “gamed.”</w:t>
      </w:r>
    </w:p>
    <w:p>
      <w:pPr>
        <w:pStyle w:val="BodyTextIndent2"/>
        <w:spacing w:lineRule="auto" w:line="480"/>
        <w:jc w:val="start"/>
        <w:rPr/>
      </w:pPr>
      <w:r>
        <w:rPr/>
        <w:t>By contrast, there will be significant gaming of the shorter (10-day or current day) baselines used for the other demand reduction programs. At the RTP workshop of July 9, several customers discussed how the short deadlines encourage high demand during hot weather in anticipation of a call to curtail. Thus lighting at full power in the morning, 72 degrees thermostats, etc., makes it very easy to show a response when called upon.</w:t>
      </w:r>
    </w:p>
    <w:p>
      <w:pPr>
        <w:pStyle w:val="Heading9"/>
        <w:numPr>
          <w:ilvl w:val="0"/>
          <w:numId w:val="3"/>
        </w:numPr>
        <w:ind w:hanging="0" w:start="0"/>
        <w:rPr/>
      </w:pPr>
      <w:r>
        <w:rPr/>
        <w:t>Energy Savings may be Phantom</w:t>
      </w:r>
    </w:p>
    <w:p>
      <w:pPr>
        <w:pStyle w:val="Normal"/>
        <w:rPr>
          <w:b/>
        </w:rPr>
      </w:pPr>
      <w:r>
        <w:rPr>
          <w:b/>
        </w:rPr>
      </w:r>
    </w:p>
    <w:p>
      <w:pPr>
        <w:pStyle w:val="BodyTextIndent2"/>
        <w:spacing w:lineRule="auto" w:line="480"/>
        <w:jc w:val="start"/>
        <w:rPr/>
      </w:pPr>
      <w:r>
        <w:rPr/>
        <w:t>The DD notes a concern that the savings under an RTP proposal may be “phantom,” either because the baseline measurement is artificially high or load is being reduced for reasons having nothing to do with energy consumption (p. 10). As noted, it would be difficult to game historic data. As to “phantom” drops, the same charge could be leveled at the DBP, when a requested load drop is met for factory maintenance or employee vacations.</w:t>
      </w:r>
    </w:p>
    <w:p>
      <w:pPr>
        <w:pStyle w:val="Normal"/>
        <w:spacing w:lineRule="auto" w:line="480"/>
        <w:ind w:firstLine="720" w:end="0"/>
        <w:rPr/>
      </w:pPr>
      <w:r>
        <w:rPr/>
        <w:t xml:space="preserve">The DD also suggests that “gaming” of the CBL values can result in unjustified payments, at the expense of non-participants, to RTP tariff participants for “phantom” load reductions.  The revised RTP Supplemental Tariff submitted with these comments has tightened CBL computations to greatly reduce, if not eliminate, any possibility of phantom load reductions.  Two major changes have been made.  First, the June 21 version permitted negotiations by applicants to overcome possible problems with strict use of historic data.  Opportunities for such negotiations have been eliminated. Second, the two step CBL scaling has been extended to an entire half-year, i.e., we use the ratio of January through June 2001 divided by January through </w:t>
      </w:r>
      <w:r>
        <w:rPr>
          <w:u w:val="single"/>
        </w:rPr>
        <w:t>June 2000</w:t>
      </w:r>
      <w:r>
        <w:rPr/>
        <w:t xml:space="preserve"> energy consumption as the ratio to scale year 2000 load data.  This brings to bear all available energy usage data for applicants, and ensures that recent energy usage behavior dominates the determination of final CBL values.  We believe that these changes should reduce remaining concerns about phantom load reductions to negligible levels.</w:t>
      </w:r>
    </w:p>
    <w:p>
      <w:pPr>
        <w:pStyle w:val="BodyTextIndent2"/>
        <w:spacing w:lineRule="auto" w:line="480"/>
        <w:jc w:val="start"/>
        <w:rPr/>
      </w:pPr>
      <w:r>
        <w:rPr/>
      </w:r>
    </w:p>
    <w:p>
      <w:pPr>
        <w:pStyle w:val="Heading9"/>
        <w:numPr>
          <w:ilvl w:val="0"/>
          <w:numId w:val="3"/>
        </w:numPr>
        <w:ind w:hanging="0" w:start="0"/>
        <w:rPr/>
      </w:pPr>
      <w:r>
        <w:rPr/>
        <w:t>Under Voluntary RTP, Only Those Who Benefit Would Participate</w:t>
      </w:r>
    </w:p>
    <w:p>
      <w:pPr>
        <w:pStyle w:val="Normal"/>
        <w:rPr>
          <w:b/>
        </w:rPr>
      </w:pPr>
      <w:r>
        <w:rPr>
          <w:b/>
        </w:rPr>
      </w:r>
    </w:p>
    <w:p>
      <w:pPr>
        <w:pStyle w:val="BodyTextIndent2"/>
        <w:spacing w:lineRule="auto" w:line="480"/>
        <w:jc w:val="start"/>
        <w:rPr/>
      </w:pPr>
      <w:r>
        <w:rPr/>
        <w:t xml:space="preserve">The DD notes that only those customers who would benefit from the program have an incentive to subscribe (p. 11). The RTP tariff, like all of the other demand reduction programs, is currently offered on a </w:t>
      </w:r>
      <w:r>
        <w:rPr>
          <w:u w:val="single"/>
        </w:rPr>
        <w:t>voluntary</w:t>
      </w:r>
      <w:r>
        <w:rPr/>
        <w:t xml:space="preserve"> basis. The same rationale applies to those programs. Clearly, large customers have the energy expertise—or access to assistance from the UDCs—to select the program best suited to the customer’s operations. We want end-users to participate so that we can achieve targeted load reductions when RTP prices are high—either due to market forces or tight supply/demand balance conditions.</w:t>
      </w:r>
    </w:p>
    <w:p>
      <w:pPr>
        <w:pStyle w:val="BodyTextIndent2"/>
        <w:spacing w:lineRule="auto" w:line="480"/>
        <w:jc w:val="start"/>
        <w:rPr/>
      </w:pPr>
      <w:r>
        <w:rPr/>
      </w:r>
    </w:p>
    <w:p>
      <w:pPr>
        <w:pStyle w:val="Heading9"/>
        <w:numPr>
          <w:ilvl w:val="0"/>
          <w:numId w:val="3"/>
        </w:numPr>
        <w:ind w:hanging="0" w:start="0"/>
        <w:rPr/>
      </w:pPr>
      <w:r>
        <w:rPr/>
        <w:t>RTP Overlaps with Demand Bidding Programs</w:t>
      </w:r>
    </w:p>
    <w:p>
      <w:pPr>
        <w:pStyle w:val="Normal"/>
        <w:jc w:val="both"/>
        <w:rPr>
          <w:b/>
        </w:rPr>
      </w:pPr>
      <w:r>
        <w:rPr>
          <w:b/>
        </w:rPr>
      </w:r>
    </w:p>
    <w:p>
      <w:pPr>
        <w:pStyle w:val="Normal"/>
        <w:spacing w:lineRule="auto" w:line="480"/>
        <w:ind w:firstLine="720" w:end="0"/>
        <w:rPr/>
      </w:pPr>
      <w:r>
        <w:rPr/>
        <w:t xml:space="preserve">A related comment in the DD is the idea that the CEC’s RTP proposal competes with the Demand Bidding Program because both programs target the same customer groups (p. 14).  Both programs are available to customers with meters.  However, as noted </w:t>
      </w:r>
      <w:r>
        <w:rPr>
          <w:i/>
        </w:rPr>
        <w:t>supra</w:t>
      </w:r>
      <w:r>
        <w:rPr/>
        <w:t xml:space="preserve"> the minimum load drop requirements of DBP (and BIP) make it unworkable for most customers consuming less than 500 kW.  This means that RTP is not in competition with Demand Bidding. </w:t>
      </w:r>
    </w:p>
    <w:p>
      <w:pPr>
        <w:pStyle w:val="Normal"/>
        <w:spacing w:lineRule="auto" w:line="480"/>
        <w:ind w:firstLine="720" w:end="0"/>
        <w:rPr/>
      </w:pPr>
      <w:r>
        <w:rPr/>
        <w:t>The type of demand reduction program selected by those customers over 500 kW is primarily dependent on that customer’s operations. The DBP is most appropriate for a manufacturing, process-type industry, such as a rock crusher. The operations manager can plan to shut down in order to honor the bids and reschedule the shift for a time when electricity will be cheaper. By way of contrast, an office building with thermostats and lighting controls can be programmed, with the help of the DWR-posted RTPOs, to adjust the space conditioning and lighting when the price signal reaches a certain level.</w:t>
      </w:r>
      <w:r>
        <w:rPr>
          <w:rStyle w:val="FootnoteCharacters"/>
          <w:rStyle w:val="FootnoteReference"/>
        </w:rPr>
        <w:footnoteReference w:id="14"/>
      </w:r>
      <w:r>
        <w:rPr/>
        <w:t xml:space="preserve">  Larger industrial customers can afford the overhead of demand bidding while smaller customers cannot. RTP load reductions stimulated by directly-price responsive equipment is the only practical way to reach the medium-sized customer.</w:t>
      </w:r>
    </w:p>
    <w:p>
      <w:pPr>
        <w:pStyle w:val="Normal"/>
        <w:spacing w:lineRule="auto" w:line="480"/>
        <w:ind w:firstLine="720" w:end="0"/>
        <w:rPr/>
      </w:pPr>
      <w:r>
        <w:rPr/>
      </w:r>
    </w:p>
    <w:p>
      <w:pPr>
        <w:pStyle w:val="Heading9"/>
        <w:numPr>
          <w:ilvl w:val="0"/>
          <w:numId w:val="3"/>
        </w:numPr>
        <w:spacing w:lineRule="auto" w:line="480"/>
        <w:ind w:hanging="0" w:start="0"/>
        <w:rPr/>
      </w:pPr>
      <w:r>
        <w:rPr/>
        <w:t xml:space="preserve">Fiscal Issues </w:t>
      </w:r>
    </w:p>
    <w:p>
      <w:pPr>
        <w:pStyle w:val="Normal"/>
        <w:spacing w:lineRule="auto" w:line="480"/>
        <w:ind w:start="720" w:end="0"/>
        <w:rPr>
          <w:b/>
        </w:rPr>
      </w:pPr>
      <w:r>
        <w:rPr>
          <w:b/>
        </w:rPr>
        <w:t>1. Cost of the Program</w:t>
      </w:r>
    </w:p>
    <w:p>
      <w:pPr>
        <w:pStyle w:val="Normal"/>
        <w:spacing w:lineRule="auto" w:line="480"/>
        <w:ind w:firstLine="720" w:end="0"/>
        <w:rPr/>
      </w:pPr>
      <w:r>
        <w:rPr/>
        <w:t>The DD takes issue with the unknown cost of the program and the designation of CDWR as the entity responsible for paying these costs (p. 12, 14-15). The DD reiterates the concern of SCE that the estimated cost of the RTP program and DWR’s commitment to fund the program have still not been established (p. 12, 14-15).  The CEC has developed estimates of the cost of operating the program presuming a range of various assumptions particular to the tariff design we have proposed and a variety of environmental factors that affect cost for any RTP tariff.  We believe that a reasonable annualized cost to society of our proposed RTP supplemental tariff is bounded by $3 million on the low side to $13 million on the high side. Using assumptions comparable to those for the demand bidding program reported to the CEC by those in DWR who prepared the analysis suggests annual net costs of $6 million. This level achieves 300 mW of peak load reduction with an average incentive payment for peak reductions of $350 per megawatt-hour, which is less than twice the peak TOU tariff. Also attractive is the annual cost per avoided kilowatt—only $20 per kilowatt year. These estimates are composed of three elements: (1) direct RTP incentive charges/credits, (2) avoided DWR/CERS and ISO costs of incremental loads, and (3) net UDC revenue impacts of changes in loads at tariff rates.  In contrast, the DWR analysis of program bidding costs reported in the DWR letter to Commissioner Brown, dated July 23, 2001, reveals costs of over $100 million for 2001.</w:t>
      </w:r>
    </w:p>
    <w:p>
      <w:pPr>
        <w:pStyle w:val="Normal"/>
        <w:spacing w:lineRule="auto" w:line="480"/>
        <w:ind w:firstLine="720" w:end="0"/>
        <w:rPr/>
      </w:pPr>
      <w:r>
        <w:rPr/>
        <w:t xml:space="preserve">This range encompasses the evaluation of different high reliability values awarded as an incentive to reduce loads at times when the system supply-demand balance is stressed, reasonable assumptions of participation rates, estimates of loads curtailed during peak hours, load shifts from peak hours to off-peak hours of ISO alert days, and loads increased at off peak periods when the RTP value is less than the TOU energy rate in that hour.  </w:t>
      </w:r>
    </w:p>
    <w:p>
      <w:pPr>
        <w:pStyle w:val="Normal"/>
        <w:spacing w:lineRule="auto" w:line="480"/>
        <w:ind w:firstLine="720" w:end="0"/>
        <w:rPr/>
      </w:pPr>
      <w:r>
        <w:rPr/>
        <w:t>Like estimates of the cost of the demand bidding program adopted pursuant to D.01-07-025, the cost of the proposed RTP program is heavily affected by the level of reliability adder incentive paid when the system is stressed.  Like the demand bidding program, but unlike the ISO Demand Relief program, there are no fixed payments reserving capacity.  The program operates on a “pay for performance” basis.</w:t>
      </w:r>
    </w:p>
    <w:p>
      <w:pPr>
        <w:pStyle w:val="Heading1"/>
        <w:spacing w:lineRule="auto" w:line="480"/>
        <w:ind w:firstLine="720" w:start="0" w:end="0"/>
        <w:jc w:val="start"/>
        <w:rPr/>
      </w:pPr>
      <w:r>
        <w:rPr/>
        <w:t>2.  RTP Induces Cost-shifting</w:t>
      </w:r>
    </w:p>
    <w:p>
      <w:pPr>
        <w:pStyle w:val="Normal"/>
        <w:spacing w:lineRule="auto" w:line="480"/>
        <w:rPr/>
      </w:pPr>
      <w:r>
        <w:rPr/>
        <w:tab/>
        <w:t>The DD expresses concern that the cost of the program will result in cost-shifting from participants to non-participants (p. 15).  Like demand bidding authorized in D.01-07-025, the major cost of the RTP supplemental tariff is payments within the RTPO values that reflect reliability incentives for participants to reduce loads.  Like demand bidding, the costs of such incentives represent the monetization in trackable UDC/DWR/ISO accounts of payments that provide reliability benefits to all users of the ISO control area.  Absent such payments, when the control area supply-demand balance is stressed the frequency and extent of rotating outages would be higher.  Such outages induce private, out-of-pocket costs that do not appear on the accounts of regulated entities.  Achieving higher reliability through RTP and demand bidding programs “books” additional costs that are likely to more than offset private costs.  Thus, while non-participants may pay slightly more costs with the RTP program than without the RTP program, society as a whole and non-participants as a class are likely to have reduced total costs by avoiding out-of-pocket costs of outages.  We believe that the general support of the CEC’s RTP proposal by TURN, ORA and other customer organizations reflects this understanding.</w:t>
      </w:r>
    </w:p>
    <w:p>
      <w:pPr>
        <w:pStyle w:val="Normal"/>
        <w:spacing w:lineRule="auto" w:line="480"/>
        <w:ind w:firstLine="720" w:end="0"/>
        <w:rPr>
          <w:b/>
        </w:rPr>
      </w:pPr>
      <w:r>
        <w:rPr>
          <w:b/>
        </w:rPr>
        <w:t>3.  RTP costs are not yet included in Executive Order</w:t>
      </w:r>
    </w:p>
    <w:p>
      <w:pPr>
        <w:pStyle w:val="Normal"/>
        <w:spacing w:lineRule="auto" w:line="480"/>
        <w:rPr/>
      </w:pPr>
      <w:r>
        <w:rPr/>
        <w:tab/>
        <w:t>The DD points out (p. 11) that Executive Order D-30-01 does not specifically authorize DWR to take financial responsibility for revenue increases associated with RTP.  We believe that RTP is covered under the Draft Rate Agreement.  The Agreement covers operating expenses including the cost of purchase power. RTP merely reflects these costs to the customer.</w:t>
      </w:r>
    </w:p>
    <w:p>
      <w:pPr>
        <w:pStyle w:val="Normal"/>
        <w:spacing w:lineRule="auto" w:line="480"/>
        <w:rPr/>
      </w:pPr>
      <w:r>
        <w:rPr/>
      </w:r>
    </w:p>
    <w:p>
      <w:pPr>
        <w:pStyle w:val="Heading3"/>
        <w:ind w:hanging="0" w:start="0"/>
        <w:rPr/>
      </w:pPr>
      <w:r>
        <w:rPr/>
        <w:t>IX. CONCLUSIONS</w:t>
      </w:r>
    </w:p>
    <w:p>
      <w:pPr>
        <w:pStyle w:val="Normal"/>
        <w:rPr/>
      </w:pPr>
      <w:r>
        <w:rPr/>
      </w:r>
    </w:p>
    <w:p>
      <w:pPr>
        <w:pStyle w:val="Normal"/>
        <w:spacing w:lineRule="auto" w:line="480"/>
        <w:rPr/>
      </w:pPr>
      <w:r>
        <w:rPr/>
        <w:tab/>
        <w:t>In order to bring this initial phase of RTP activities to a successful conclusion, the CPUC should:</w:t>
      </w:r>
    </w:p>
    <w:p>
      <w:pPr>
        <w:pStyle w:val="Normal"/>
        <w:ind w:start="720" w:end="0"/>
        <w:rPr/>
      </w:pPr>
      <w:r>
        <w:rPr/>
        <w:t>1. Ensure that the RTP meter deployment process begins immediately on a mandatory basis for all customers &gt;200 kW.  An RTP tariff should be conditionally authorized as one of the options for customers to elect once an RTP tariff is authorized and effective.</w:t>
      </w:r>
    </w:p>
    <w:p>
      <w:pPr>
        <w:pStyle w:val="Normal"/>
        <w:ind w:start="720" w:end="0"/>
        <w:rPr/>
      </w:pPr>
      <w:r>
        <w:rPr/>
      </w:r>
    </w:p>
    <w:p>
      <w:pPr>
        <w:pStyle w:val="Normal"/>
        <w:ind w:start="720" w:end="0"/>
        <w:rPr/>
      </w:pPr>
      <w:r>
        <w:rPr/>
        <w:t>2. Adopt an RTP tariff in the near term, with the following sequence of preferences for the design of that tariff:</w:t>
      </w:r>
    </w:p>
    <w:p>
      <w:pPr>
        <w:pStyle w:val="Normal"/>
        <w:ind w:start="1440" w:end="0"/>
        <w:rPr/>
      </w:pPr>
      <w:r>
        <w:rPr/>
        <w:t>a. The CEC RTP tariff as submitted on July 26;</w:t>
      </w:r>
    </w:p>
    <w:p>
      <w:pPr>
        <w:pStyle w:val="Normal"/>
        <w:ind w:start="1440" w:end="0"/>
        <w:rPr/>
      </w:pPr>
      <w:r>
        <w:rPr/>
        <w:t>b. The best from among a pool of RTP tariff proposals, including: (1) the CEC RTP tariff of July 26, and (2) any UDC or other tariff proposals received as a result of any further filings directed by the Commission.</w:t>
      </w:r>
    </w:p>
    <w:p>
      <w:pPr>
        <w:pStyle w:val="Normal"/>
        <w:ind w:start="720" w:end="0"/>
        <w:rPr/>
      </w:pPr>
      <w:r>
        <w:rPr/>
      </w:r>
    </w:p>
    <w:p>
      <w:pPr>
        <w:pStyle w:val="Normal"/>
        <w:ind w:start="720" w:end="0"/>
        <w:rPr/>
      </w:pPr>
      <w:r>
        <w:rPr/>
        <w:t>3. The CPUC should establish a new proceeding that addresses both the long term rate design aspects of D.01-05-064 as well as the interruptible programs developed and authorized through D.01-04-006 and D.01-07-025.  This proceeding would have as its goal the development of a limited set of tariffs and demand responsiveness programs that can communicate market price signals and reliability management to all customers with RTP metering systems.</w:t>
      </w:r>
    </w:p>
    <w:p>
      <w:pPr>
        <w:pStyle w:val="Normal"/>
        <w:rPr/>
      </w:pPr>
      <w:r>
        <w:rPr/>
      </w:r>
    </w:p>
    <w:p>
      <w:pPr>
        <w:pStyle w:val="Normal"/>
        <w:spacing w:lineRule="auto" w:line="480"/>
        <w:rPr/>
      </w:pPr>
      <w:r>
        <w:rPr/>
      </w:r>
    </w:p>
    <w:p>
      <w:pPr>
        <w:pStyle w:val="Normal"/>
        <w:spacing w:lineRule="auto" w:line="480"/>
        <w:ind w:firstLine="720" w:end="0"/>
        <w:rPr/>
      </w:pPr>
      <w:r>
        <w:rPr/>
        <w:t>We believe that it is critical for the Commission to authorize an RTP tariff in the near term for three reasons.  First, substantial participation in an RTP tariff can provide useful load response that may be needed later this year, when other demand responsiveness programs capabilities have diminished.  Second, the state has invested considerable funds through AB29X to install RTP metering systems and these funds will be most effectively utilized with an RTP tariff.  Third, it is necessary to develop some experience base with RTP tariffs and participant response in order to most effectively design long term RTP tariffs or other tariffs that make use of interval metering data.</w:t>
      </w:r>
    </w:p>
    <w:p>
      <w:pPr>
        <w:pStyle w:val="Heading5"/>
        <w:ind w:start="3600" w:end="0"/>
        <w:rPr/>
      </w:pPr>
      <w:r>
        <w:rPr/>
      </w:r>
    </w:p>
    <w:p>
      <w:pPr>
        <w:pStyle w:val="Heading5"/>
        <w:ind w:start="3600" w:end="0"/>
        <w:rPr/>
      </w:pPr>
      <w:r>
        <w:rPr/>
        <w:t>Respectfully submitted</w:t>
      </w:r>
    </w:p>
    <w:p>
      <w:pPr>
        <w:pStyle w:val="Normal"/>
        <w:spacing w:lineRule="auto" w:line="480"/>
        <w:rPr/>
      </w:pPr>
      <w:r>
        <w:rPr/>
        <w:tab/>
        <w:tab/>
        <w:tab/>
        <w:tab/>
        <w:tab/>
        <w:tab/>
        <w:t>JENNIFER TACHERA</w:t>
      </w:r>
    </w:p>
    <w:p>
      <w:pPr>
        <w:pStyle w:val="Normal"/>
        <w:spacing w:lineRule="auto" w:line="480"/>
        <w:rPr/>
      </w:pPr>
      <w:r>
        <w:rPr/>
      </w:r>
    </w:p>
    <w:p>
      <w:pPr>
        <w:pStyle w:val="Normal"/>
        <w:spacing w:lineRule="auto" w:line="480"/>
        <w:rPr/>
      </w:pPr>
      <w:r>
        <w:rPr/>
        <w:tab/>
        <w:tab/>
        <w:tab/>
        <w:tab/>
        <w:tab/>
        <w:tab/>
        <w:t>________________________</w:t>
      </w:r>
    </w:p>
    <w:p>
      <w:pPr>
        <w:pStyle w:val="Normal"/>
        <w:rPr/>
      </w:pPr>
      <w:r>
        <w:rPr/>
        <w:tab/>
        <w:tab/>
        <w:tab/>
        <w:tab/>
        <w:tab/>
        <w:tab/>
        <w:t>California Energy Commission</w:t>
      </w:r>
    </w:p>
    <w:p>
      <w:pPr>
        <w:pStyle w:val="Normal"/>
        <w:rPr/>
      </w:pPr>
      <w:r>
        <w:rPr/>
        <w:tab/>
        <w:tab/>
        <w:tab/>
        <w:tab/>
        <w:tab/>
        <w:tab/>
        <w:t>1516 9</w:t>
      </w:r>
      <w:r>
        <w:rPr>
          <w:vertAlign w:val="superscript"/>
        </w:rPr>
        <w:t>th</w:t>
      </w:r>
      <w:r>
        <w:rPr/>
        <w:t xml:space="preserve"> Street, M.S.-14</w:t>
      </w:r>
    </w:p>
    <w:p>
      <w:pPr>
        <w:pStyle w:val="Normal"/>
        <w:rPr/>
      </w:pPr>
      <w:r>
        <w:rPr/>
        <w:tab/>
        <w:tab/>
        <w:tab/>
        <w:tab/>
        <w:tab/>
        <w:tab/>
        <w:t>Sacramento, CA 95815</w:t>
      </w:r>
    </w:p>
    <w:p>
      <w:pPr>
        <w:pStyle w:val="Normal"/>
        <w:rPr/>
      </w:pPr>
      <w:r>
        <w:rPr/>
        <w:tab/>
        <w:tab/>
        <w:tab/>
        <w:tab/>
        <w:tab/>
        <w:tab/>
        <w:t>Tel. (916) 654-3870</w:t>
      </w:r>
    </w:p>
    <w:p>
      <w:pPr>
        <w:pStyle w:val="Normal"/>
        <w:rPr/>
      </w:pPr>
      <w:r>
        <w:rPr/>
        <w:tab/>
        <w:tab/>
        <w:tab/>
        <w:tab/>
        <w:tab/>
        <w:tab/>
        <w:t>Fax. (916) 654-3843</w:t>
      </w:r>
    </w:p>
    <w:p>
      <w:pPr>
        <w:pStyle w:val="Normal"/>
        <w:rPr/>
      </w:pPr>
      <w:r>
        <w:rPr/>
        <w:tab/>
        <w:tab/>
        <w:tab/>
        <w:tab/>
        <w:tab/>
        <w:tab/>
        <w:t xml:space="preserve">E-mail: </w:t>
      </w:r>
      <w:hyperlink r:id="rId3">
        <w:r>
          <w:rPr>
            <w:rStyle w:val="Hyperlink"/>
          </w:rPr>
          <w:t>jtachera@energy.state.ca.us</w:t>
        </w:r>
      </w:hyperlink>
    </w:p>
    <w:p>
      <w:pPr>
        <w:pStyle w:val="Normal"/>
        <w:rPr/>
      </w:pPr>
      <w:r>
        <w:rPr/>
      </w:r>
    </w:p>
    <w:p>
      <w:pPr>
        <w:pStyle w:val="Normal"/>
        <w:rPr/>
      </w:pPr>
      <w:r>
        <w:rPr/>
        <w:t>July 26, 2001</w:t>
      </w:r>
    </w:p>
    <w:p>
      <w:pPr>
        <w:pStyle w:val="BodyText"/>
        <w:rPr/>
      </w:pPr>
      <w:r>
        <w:rPr/>
      </w:r>
    </w:p>
    <w:p>
      <w:pPr>
        <w:pStyle w:val="Normal"/>
        <w:rPr/>
      </w:pPr>
      <w:r>
        <w:rPr/>
        <w:t>Attachments</w:t>
      </w:r>
    </w:p>
    <w:p>
      <w:pPr>
        <w:pStyle w:val="Normal"/>
        <w:rPr/>
      </w:pPr>
      <w:r>
        <w:rPr/>
        <w:tab/>
        <w:t>A. Revised RTP Tariff</w:t>
      </w:r>
    </w:p>
    <w:p>
      <w:pPr>
        <w:pStyle w:val="Normal"/>
        <w:rPr/>
      </w:pPr>
      <w:r>
        <w:rPr/>
        <w:tab/>
        <w:t>B. Revised RTP Tariff—edit mode</w:t>
      </w:r>
    </w:p>
    <w:p>
      <w:pPr>
        <w:pStyle w:val="Normal"/>
        <w:rPr/>
      </w:pPr>
      <w:r>
        <w:rPr/>
        <w:tab/>
        <w:t>C. Recent RTP Prices</w:t>
      </w:r>
    </w:p>
    <w:p>
      <w:pPr>
        <w:pStyle w:val="Normal"/>
        <w:rPr/>
      </w:pPr>
      <w:r>
        <w:rPr/>
      </w:r>
    </w:p>
    <w:sectPr>
      <w:footerReference w:type="default" r:id="rId4"/>
      <w:footerReference w:type="first" r:id="rId5"/>
      <w:footnotePr>
        <w:numFmt w:val="decimal"/>
      </w:footnotePr>
      <w:type w:val="nextPage"/>
      <w:pgSz w:w="12240" w:h="15840"/>
      <w:pgMar w:left="1800" w:right="180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Palatino">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In addition to the well known example of the Power Exchange Day Ahead market-clearing price being the sole source of SDG&amp;E bundled service customer energy costs for over one year in 1999 and 2000, even today all bundled service and direct access customers have a component of their energy bills – ancillary service costs – that flow directly from ISO settlement procedures to end-user bills.  The entire design the financing of the ISO as an element of the restructured California electricity market depends upon a daily computation and settlement for ancillary service costs using interval usage data and market-based prices without any filtering by CPUC ratemaking reviews. </w:t>
      </w:r>
    </w:p>
  </w:footnote>
  <w:footnote w:id="3">
    <w:p>
      <w:pPr>
        <w:pStyle w:val="FootnoteText"/>
        <w:rPr/>
      </w:pPr>
      <w:r>
        <w:rPr>
          <w:rStyle w:val="FootnoteCharacters"/>
        </w:rPr>
        <w:footnoteRef/>
      </w:r>
      <w:r>
        <w:rPr/>
        <w:t xml:space="preserve"> </w:t>
      </w:r>
      <w:r>
        <w:rPr/>
        <w:t xml:space="preserve">In addition to the well known example of the Power Exchange Day Ahead market-clearing price being the sole source of SDG&amp;E bundled service customer energy costs for over one year in 1999 and 2000, even today all bundled service and direct access customers have a component of their energy bills – ancillary service costs – that flow directly from ISO settlement procedures to end-user bills.  The entire design the financing of the ISO as an element of the restructured California electricity market depends upon a daily computation and settlement for ancillary service costs using interval usage data and market-based prices without any filtering by CPUC ratemaking reviews. </w:t>
      </w:r>
    </w:p>
  </w:footnote>
  <w:footnote w:id="4">
    <w:p>
      <w:pPr>
        <w:pStyle w:val="FootnoteText"/>
        <w:rPr/>
      </w:pPr>
      <w:r>
        <w:rPr>
          <w:rStyle w:val="FootnoteCharacters"/>
        </w:rPr>
        <w:footnoteRef/>
      </w:r>
      <w:r>
        <w:rPr/>
        <w:t xml:space="preserve"> </w:t>
      </w:r>
      <w:r>
        <w:rPr/>
        <w:t>The DD cites to Attachment A, as revised, of D.01-04-006 as the laundry list of demand reduction programs.</w:t>
      </w:r>
    </w:p>
  </w:footnote>
  <w:footnote w:id="5">
    <w:p>
      <w:pPr>
        <w:pStyle w:val="FootnoteText"/>
        <w:rPr/>
      </w:pPr>
      <w:r>
        <w:rPr>
          <w:rStyle w:val="FootnoteCharacters"/>
        </w:rPr>
        <w:footnoteRef/>
      </w:r>
      <w:r>
        <w:rPr/>
        <w:t xml:space="preserve">  </w:t>
      </w:r>
      <w:r>
        <w:rPr/>
        <w:t>The new Demand Bidding Program apparently is replacing the Voluntary Demand Response Program (VDRP).</w:t>
      </w:r>
    </w:p>
  </w:footnote>
  <w:footnote w:id="6">
    <w:p>
      <w:pPr>
        <w:pStyle w:val="FootnoteText"/>
        <w:rPr/>
      </w:pPr>
      <w:r>
        <w:rPr>
          <w:rStyle w:val="FootnoteCharacters"/>
        </w:rPr>
        <w:footnoteRef/>
      </w:r>
      <w:r>
        <w:rPr/>
        <w:t xml:space="preserve"> </w:t>
      </w:r>
      <w:r>
        <w:rPr/>
        <w:t>A number of 1000 kW customers could have troubles with these restrictions as well.</w:t>
      </w:r>
    </w:p>
  </w:footnote>
  <w:footnote w:id="7">
    <w:p>
      <w:pPr>
        <w:pStyle w:val="FootnoteText"/>
        <w:rPr/>
      </w:pPr>
      <w:r>
        <w:rPr>
          <w:rStyle w:val="FootnoteCharacters"/>
        </w:rPr>
        <w:footnoteRef/>
      </w:r>
      <w:r>
        <w:rPr/>
        <w:t xml:space="preserve"> </w:t>
      </w:r>
      <w:r>
        <w:rPr/>
        <w:t>An RTP rate will encourage both routine load shifting as well as critical peak day reductions</w:t>
      </w:r>
      <w:r>
        <w:rPr>
          <w:sz w:val="24"/>
        </w:rPr>
        <w:t>.</w:t>
      </w:r>
    </w:p>
    <w:p>
      <w:pPr>
        <w:pStyle w:val="FootnoteText"/>
        <w:rPr>
          <w:sz w:val="24"/>
        </w:rPr>
      </w:pPr>
      <w:r>
        <w:rPr>
          <w:sz w:val="24"/>
        </w:rPr>
      </w:r>
    </w:p>
  </w:footnote>
  <w:footnote w:id="8">
    <w:p>
      <w:pPr>
        <w:pStyle w:val="FootnoteText"/>
        <w:rPr/>
      </w:pPr>
      <w:r>
        <w:rPr>
          <w:rStyle w:val="FootnoteCharacters"/>
        </w:rPr>
        <w:footnoteRef/>
      </w:r>
      <w:r>
        <w:rPr/>
        <w:t xml:space="preserve"> </w:t>
      </w:r>
      <w:r>
        <w:rPr/>
        <w:t>Chapter 12, First Extraordinary Session, Statutes of 2001/2002.</w:t>
      </w:r>
    </w:p>
  </w:footnote>
  <w:footnote w:id="9">
    <w:p>
      <w:pPr>
        <w:pStyle w:val="FootnoteText"/>
        <w:rPr/>
      </w:pPr>
      <w:r>
        <w:rPr>
          <w:rStyle w:val="FootnoteCharacters"/>
        </w:rPr>
        <w:footnoteRef/>
      </w:r>
      <w:r>
        <w:rPr/>
        <w:t xml:space="preserve"> </w:t>
      </w:r>
      <w:r>
        <w:rPr/>
        <w:t>Id. at Section 11, adding Section 353.3 to the Public Utilities Code.</w:t>
      </w:r>
    </w:p>
  </w:footnote>
  <w:footnote w:id="10">
    <w:p>
      <w:pPr>
        <w:pStyle w:val="FootnoteText"/>
        <w:rPr/>
      </w:pPr>
      <w:r>
        <w:rPr>
          <w:rStyle w:val="FootnoteCharacters"/>
        </w:rPr>
        <w:footnoteRef/>
      </w:r>
      <w:r>
        <w:rPr/>
        <w:t xml:space="preserve"> </w:t>
      </w:r>
      <w:r>
        <w:rPr/>
        <w:t>Currently, about 5,000 mW of electricity is on interval meters. These meters will be upgraded to RTP capabilities. Additionally, another 8,000 mW worth of consumption will be recorded under new RTP meters.</w:t>
      </w:r>
    </w:p>
  </w:footnote>
  <w:footnote w:id="11">
    <w:p>
      <w:pPr>
        <w:pStyle w:val="FootnoteText"/>
        <w:rPr/>
      </w:pPr>
      <w:r>
        <w:rPr>
          <w:rStyle w:val="FootnoteCharacters"/>
        </w:rPr>
        <w:footnoteRef/>
      </w:r>
      <w:r>
        <w:rPr/>
        <w:t xml:space="preserve"> </w:t>
      </w:r>
      <w:r>
        <w:rPr/>
        <w:t>Personal communication with Michael T. O’Sheasy, retired Georgia Power Company executive.</w:t>
      </w:r>
    </w:p>
  </w:footnote>
  <w:footnote w:id="12">
    <w:p>
      <w:pPr>
        <w:pStyle w:val="FootnoteText"/>
        <w:rPr/>
      </w:pPr>
      <w:r>
        <w:rPr>
          <w:rStyle w:val="FootnoteCharacters"/>
        </w:rPr>
        <w:footnoteRef/>
      </w:r>
      <w:r>
        <w:rPr/>
        <w:t xml:space="preserve"> </w:t>
      </w:r>
      <w:r>
        <w:rPr/>
        <w:t>CEC Comments of April 30, 2001, p. 6.</w:t>
      </w:r>
    </w:p>
  </w:footnote>
  <w:footnote w:id="13">
    <w:p>
      <w:pPr>
        <w:pStyle w:val="FootnoteText"/>
        <w:rPr/>
      </w:pPr>
      <w:r>
        <w:rPr>
          <w:rStyle w:val="FootnoteCharacters"/>
        </w:rPr>
        <w:footnoteRef/>
      </w:r>
      <w:r>
        <w:rPr/>
        <w:t xml:space="preserve"> </w:t>
      </w:r>
      <w:r>
        <w:rPr/>
        <w:t>Public Resources Code, Section 25001 (emphasis added.)</w:t>
      </w:r>
    </w:p>
  </w:footnote>
  <w:footnote w:id="14">
    <w:p>
      <w:pPr>
        <w:pStyle w:val="FootnoteText"/>
        <w:rPr/>
      </w:pPr>
      <w:r>
        <w:rPr>
          <w:rStyle w:val="FootnoteCharacters"/>
        </w:rPr>
        <w:footnoteRef/>
      </w:r>
      <w:r>
        <w:rPr/>
        <w:t xml:space="preserve"> </w:t>
      </w:r>
      <w:r>
        <w:rPr/>
        <w:t>The facility manager of such a building might not be interested in lowering the creature comforts for the full span of time covered in TOU rates. However, adjustments under an</w:t>
      </w:r>
      <w:r>
        <w:rPr>
          <w:sz w:val="24"/>
        </w:rPr>
        <w:t xml:space="preserve"> </w:t>
      </w:r>
      <w:r>
        <w:rPr/>
        <w:t>RTP tariff might be eminently workable.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upperLetter"/>
      <w:lvlText w:val="%1."/>
      <w:lvlJc w:val="start"/>
      <w:pPr>
        <w:tabs>
          <w:tab w:val="num" w:pos="360"/>
        </w:tabs>
        <w:ind w:start="360" w:hanging="360"/>
      </w:pPr>
      <w:rPr>
        <w:color w:val="auto"/>
      </w:rPr>
    </w:lvl>
  </w:abstractNum>
  <w:abstractNum w:abstractNumId="3">
    <w:lvl w:ilvl="0">
      <w:start w:val="1"/>
      <w:numFmt w:val="upperLetter"/>
      <w:lvlText w:val="%1."/>
      <w:lvlJc w:val="start"/>
      <w:pPr>
        <w:tabs>
          <w:tab w:val="num" w:pos="1080"/>
        </w:tabs>
        <w:ind w:start="1080" w:hanging="360"/>
      </w:pPr>
      <w:rPr/>
    </w:lvl>
  </w:abstractNum>
  <w:abstractNum w:abstractNumId="4">
    <w:lvl w:ilvl="0">
      <w:start w:val="1"/>
      <w:numFmt w:val="upperRoman"/>
      <w:lvlText w:val="%1."/>
      <w:lvlJc w:val="start"/>
      <w:pPr>
        <w:tabs>
          <w:tab w:val="num" w:pos="720"/>
        </w:tabs>
        <w:ind w:start="720" w:hanging="72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color w:val="000000"/>
    </w:rPr>
  </w:style>
  <w:style w:type="paragraph" w:styleId="Heading2">
    <w:name w:val="heading 2"/>
    <w:basedOn w:val="Normal"/>
    <w:next w:val="Normal"/>
    <w:qFormat/>
    <w:pPr>
      <w:keepNext w:val="true"/>
      <w:numPr>
        <w:ilvl w:val="1"/>
        <w:numId w:val="1"/>
      </w:numPr>
      <w:jc w:val="center"/>
      <w:outlineLvl w:val="1"/>
    </w:pPr>
    <w:rPr>
      <w:b/>
    </w:rPr>
  </w:style>
  <w:style w:type="paragraph" w:styleId="Heading3">
    <w:name w:val="heading 3"/>
    <w:basedOn w:val="Normal"/>
    <w:next w:val="Normal"/>
    <w:qFormat/>
    <w:pPr>
      <w:keepNext w:val="true"/>
      <w:numPr>
        <w:ilvl w:val="2"/>
        <w:numId w:val="1"/>
      </w:numPr>
      <w:outlineLvl w:val="2"/>
    </w:pPr>
    <w:rPr>
      <w:b/>
      <w:color w:val="000000"/>
    </w:rPr>
  </w:style>
  <w:style w:type="paragraph" w:styleId="Heading4">
    <w:name w:val="heading 4"/>
    <w:basedOn w:val="Normal"/>
    <w:next w:val="Normal"/>
    <w:qFormat/>
    <w:pPr>
      <w:keepNext w:val="true"/>
      <w:numPr>
        <w:ilvl w:val="3"/>
        <w:numId w:val="1"/>
      </w:numPr>
      <w:outlineLvl w:val="3"/>
    </w:pPr>
    <w:rPr>
      <w:b/>
    </w:rPr>
  </w:style>
  <w:style w:type="paragraph" w:styleId="Heading5">
    <w:name w:val="heading 5"/>
    <w:basedOn w:val="Normal"/>
    <w:next w:val="Normal"/>
    <w:qFormat/>
    <w:pPr>
      <w:keepNext w:val="true"/>
      <w:numPr>
        <w:ilvl w:val="4"/>
        <w:numId w:val="1"/>
      </w:numPr>
      <w:spacing w:lineRule="auto" w:line="480"/>
      <w:ind w:firstLine="720" w:start="0" w:end="0"/>
      <w:outlineLvl w:val="4"/>
    </w:pPr>
    <w:rPr/>
  </w:style>
  <w:style w:type="paragraph" w:styleId="Heading6">
    <w:name w:val="heading 6"/>
    <w:basedOn w:val="Normal"/>
    <w:next w:val="Normal"/>
    <w:qFormat/>
    <w:pPr>
      <w:keepNext w:val="true"/>
      <w:numPr>
        <w:ilvl w:val="5"/>
        <w:numId w:val="1"/>
      </w:numPr>
      <w:jc w:val="both"/>
      <w:outlineLvl w:val="5"/>
    </w:pPr>
    <w:rPr>
      <w:b/>
    </w:rPr>
  </w:style>
  <w:style w:type="paragraph" w:styleId="Heading7">
    <w:name w:val="heading 7"/>
    <w:basedOn w:val="Normal"/>
    <w:next w:val="Normal"/>
    <w:qFormat/>
    <w:pPr>
      <w:keepNext w:val="true"/>
      <w:numPr>
        <w:ilvl w:val="0"/>
        <w:numId w:val="4"/>
      </w:numPr>
      <w:spacing w:lineRule="auto" w:line="480"/>
      <w:outlineLvl w:val="6"/>
    </w:pPr>
    <w:rPr>
      <w:b/>
      <w:color w:val="000000"/>
    </w:rPr>
  </w:style>
  <w:style w:type="paragraph" w:styleId="Heading8">
    <w:name w:val="heading 8"/>
    <w:basedOn w:val="Normal"/>
    <w:next w:val="Normal"/>
    <w:qFormat/>
    <w:pPr>
      <w:keepNext w:val="true"/>
      <w:numPr>
        <w:ilvl w:val="7"/>
        <w:numId w:val="1"/>
      </w:numPr>
      <w:outlineLvl w:val="7"/>
    </w:pPr>
    <w:rPr>
      <w:b/>
      <w:u w:val="single"/>
    </w:rPr>
  </w:style>
  <w:style w:type="paragraph" w:styleId="Heading9">
    <w:name w:val="heading 9"/>
    <w:basedOn w:val="Normal"/>
    <w:next w:val="Normal"/>
    <w:qFormat/>
    <w:pPr>
      <w:keepNext w:val="true"/>
      <w:numPr>
        <w:ilvl w:val="0"/>
        <w:numId w:val="3"/>
      </w:numPr>
      <w:outlineLvl w:val="8"/>
    </w:pPr>
    <w:rPr>
      <w:b/>
      <w:u w:val="single"/>
    </w:rPr>
  </w:style>
  <w:style w:type="character" w:styleId="WW8Num1z0">
    <w:name w:val="WW8Num1z0"/>
    <w:qFormat/>
    <w:rPr>
      <w:color w:val="auto"/>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0">
    <w:name w:val="WW8Num6z0"/>
    <w:qFormat/>
    <w:rPr>
      <w:rFonts w:ascii="Wingdings" w:hAnsi="Wingdings" w:cs="Wingdings"/>
    </w:rPr>
  </w:style>
  <w:style w:type="character" w:styleId="WW8Num7z0">
    <w:name w:val="WW8Num7z0"/>
    <w:qFormat/>
    <w:rPr>
      <w:b w:val="false"/>
      <w:color w:val="auto"/>
    </w:rPr>
  </w:style>
  <w:style w:type="character" w:styleId="WW8Num9z0">
    <w:name w:val="WW8Num9z0"/>
    <w:qFormat/>
    <w:rPr/>
  </w:style>
  <w:style w:type="character" w:styleId="DefaultParagraphFont">
    <w:name w:val="Default Paragraph Font"/>
    <w:qFormat/>
    <w:rPr/>
  </w:style>
  <w:style w:type="character" w:styleId="WW-Hyperlink">
    <w:name w:val="WW-Hyperlink"/>
    <w:basedOn w:val="DefaultParagraphFont"/>
    <w:qFormat/>
    <w:rPr>
      <w:color w:val="0000FF"/>
      <w:sz w:val="24"/>
      <w:u w:val="single"/>
    </w:rPr>
  </w:style>
  <w:style w:type="character" w:styleId="PageNumber">
    <w:name w:val="page number"/>
    <w:basedOn w:val="DefaultParagraphFont"/>
    <w:rPr>
      <w:sz w:val="24"/>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in">
    <w:name w:val="main"/>
    <w:basedOn w:val="Normal"/>
    <w:qFormat/>
    <w:pPr>
      <w:suppressAutoHyphens w:val="true"/>
      <w:jc w:val="center"/>
    </w:pPr>
    <w:rPr>
      <w:rFonts w:ascii="Helvetica" w:hAnsi="Helvetica" w:cs="Helvetica"/>
      <w:b/>
      <w:sz w:val="26"/>
      <w:lang w:val="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suppressAutoHyphens w:val="true"/>
    </w:pPr>
    <w:rPr>
      <w:rFonts w:ascii="Palatino" w:hAnsi="Palatino" w:cs="Palatino"/>
      <w:sz w:val="26"/>
      <w:lang w:val="en-CA"/>
    </w:rPr>
  </w:style>
  <w:style w:type="paragraph" w:styleId="Footer">
    <w:name w:val="footer"/>
    <w:basedOn w:val="Normal"/>
    <w:pPr>
      <w:tabs>
        <w:tab w:val="clear" w:pos="720"/>
        <w:tab w:val="center" w:pos="4320" w:leader="none"/>
        <w:tab w:val="right" w:pos="8640" w:leader="none"/>
      </w:tabs>
      <w:suppressAutoHyphens w:val="true"/>
    </w:pPr>
    <w:rPr>
      <w:lang w:val="en-CA"/>
    </w:rPr>
  </w:style>
  <w:style w:type="paragraph" w:styleId="BodyText2">
    <w:name w:val="Body Text 2"/>
    <w:basedOn w:val="Normal"/>
    <w:qFormat/>
    <w:pPr/>
    <w:rPr>
      <w:color w:val="000000"/>
    </w:rPr>
  </w:style>
  <w:style w:type="paragraph" w:styleId="FootnoteText">
    <w:name w:val="footnote text"/>
    <w:basedOn w:val="Normal"/>
    <w:pPr/>
    <w:rPr>
      <w:sz w:val="20"/>
    </w:rPr>
  </w:style>
  <w:style w:type="paragraph" w:styleId="BodyTextIndent">
    <w:name w:val="Body Text Indent"/>
    <w:basedOn w:val="Normal"/>
    <w:pPr>
      <w:ind w:firstLine="720" w:start="0" w:end="0"/>
    </w:pPr>
    <w:rPr/>
  </w:style>
  <w:style w:type="paragraph" w:styleId="BodyText3">
    <w:name w:val="Body Text 3"/>
    <w:basedOn w:val="Normal"/>
    <w:qFormat/>
    <w:pPr/>
    <w:rPr>
      <w:b/>
    </w:rPr>
  </w:style>
  <w:style w:type="paragraph" w:styleId="BodyTextIndent2">
    <w:name w:val="Body Text Indent 2"/>
    <w:basedOn w:val="Normal"/>
    <w:qFormat/>
    <w:pPr>
      <w:ind w:firstLine="720" w:start="0" w:end="0"/>
      <w:jc w:val="both"/>
    </w:pPr>
    <w:rPr/>
  </w:style>
  <w:style w:type="paragraph" w:styleId="BodyTextIndent3">
    <w:name w:val="Body Text Indent 3"/>
    <w:basedOn w:val="Normal"/>
    <w:qFormat/>
    <w:pPr>
      <w:spacing w:lineRule="auto" w:line="480"/>
      <w:ind w:firstLine="720" w:start="0" w:end="0"/>
    </w:pPr>
    <w:rPr>
      <w:color w:val="000000"/>
    </w:rPr>
  </w:style>
  <w:style w:type="paragraph" w:styleId="standard">
    <w:name w:val="standard"/>
    <w:basedOn w:val="Normal"/>
    <w:qFormat/>
    <w:pPr>
      <w:spacing w:lineRule="auto" w:line="360"/>
      <w:ind w:firstLine="720" w:start="0" w:end="0"/>
    </w:pPr>
    <w:rPr>
      <w:rFonts w:ascii="Palatino" w:hAnsi="Palatino" w:cs="Palatino"/>
      <w:sz w:val="26"/>
    </w:rPr>
  </w:style>
  <w:style w:type="paragraph" w:styleId="quote">
    <w:name w:val="quote"/>
    <w:basedOn w:val="standard"/>
    <w:next w:val="standard"/>
    <w:qFormat/>
    <w:pPr>
      <w:spacing w:lineRule="auto" w:line="240" w:before="120" w:after="240"/>
      <w:ind w:hanging="0" w:start="720" w:end="720"/>
    </w:pPr>
    <w:rPr/>
  </w:style>
  <w:style w:type="paragraph" w:styleId="Hangingindent">
    <w:name w:val="Hanging indent"/>
    <w:basedOn w:val="Normal"/>
    <w:qFormat/>
    <w:pPr>
      <w:suppressAutoHyphens w:val="true"/>
      <w:ind w:firstLine="1" w:start="360" w:end="0"/>
    </w:pPr>
    <w:rPr>
      <w:lang w:val="en-CA"/>
    </w:rPr>
  </w:style>
  <w:style w:type="paragraph" w:styleId="BlockText">
    <w:name w:val="Block Text"/>
    <w:basedOn w:val="Normal"/>
    <w:qFormat/>
    <w:pPr>
      <w:ind w:firstLine="720" w:start="720" w:end="72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yperlink" Target="mailto:jtachera@energy.state.ca.us" TargetMode="Externa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2001-07-26T20:50:00Z</dcterms:created>
  <dc:creator>Jennifer Tachera</dc:creator>
  <dc:description/>
  <dc:language>en-CA</dc:language>
  <cp:lastModifiedBy>CEC</cp:lastModifiedBy>
  <cp:lastPrinted>2001-07-26T15:39:00Z</cp:lastPrinted>
  <dcterms:modified xsi:type="dcterms:W3CDTF">2001-07-26T20:50:00Z</dcterms:modified>
  <cp:revision>2</cp:revision>
  <dc:subject/>
  <dc:title>BEFORE THE PUBLIC UTILITIES COMMISSION </dc:title>
</cp:coreProperties>
</file>