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sz w:val="24"/>
        </w:rPr>
      </w:pPr>
      <w:r>
        <w:rPr>
          <w:sz w:val="24"/>
        </w:rPr>
        <w:tab/>
      </w:r>
    </w:p>
    <w:p>
      <w:pPr>
        <w:pStyle w:val="Heading1"/>
        <w:ind w:hanging="0" w:start="0"/>
        <w:rPr>
          <w:b/>
          <w:bCs/>
          <w:sz w:val="28"/>
        </w:rPr>
      </w:pPr>
      <w:r>
        <w:rPr>
          <w:b/>
          <w:bCs/>
          <w:sz w:val="28"/>
        </w:rPr>
      </w:r>
    </w:p>
    <w:p>
      <w:pPr>
        <w:pStyle w:val="Heading1"/>
        <w:ind w:hanging="0" w:start="0"/>
        <w:rPr>
          <w:b/>
          <w:bCs/>
          <w:sz w:val="28"/>
        </w:rPr>
      </w:pPr>
      <w:r>
        <w:rPr>
          <w:b/>
          <w:bCs/>
          <w:sz w:val="28"/>
        </w:rPr>
        <w:t>Statement of the Honorable Thomas W. Ewing</w:t>
      </w:r>
    </w:p>
    <w:p>
      <w:pPr>
        <w:pStyle w:val="Normal"/>
        <w:tabs>
          <w:tab w:val="clear" w:pos="720"/>
          <w:tab w:val="center" w:pos="4680" w:leader="none"/>
        </w:tabs>
        <w:jc w:val="center"/>
        <w:rPr>
          <w:b/>
          <w:bCs/>
          <w:sz w:val="28"/>
        </w:rPr>
      </w:pPr>
      <w:r>
        <w:rPr>
          <w:b/>
          <w:bCs/>
          <w:sz w:val="28"/>
        </w:rPr>
        <w:t>May 25, 2000</w:t>
      </w:r>
    </w:p>
    <w:p>
      <w:pPr>
        <w:pStyle w:val="Normal"/>
        <w:tabs>
          <w:tab w:val="clear" w:pos="720"/>
          <w:tab w:val="center" w:pos="4680" w:leader="none"/>
        </w:tabs>
        <w:rPr>
          <w:b/>
          <w:bCs/>
          <w:sz w:val="28"/>
        </w:rPr>
      </w:pPr>
      <w:r>
        <w:rPr>
          <w:b/>
          <w:bCs/>
          <w:sz w:val="28"/>
        </w:rPr>
      </w:r>
    </w:p>
    <w:p>
      <w:pPr>
        <w:pStyle w:val="Heading2"/>
        <w:ind w:hanging="0" w:start="0"/>
        <w:rPr/>
      </w:pPr>
      <w:r>
        <w:rPr/>
        <w:t>THE COMMODITY FUTURES MODERNIZATION ACT OF 2000</w:t>
      </w:r>
    </w:p>
    <w:p>
      <w:pPr>
        <w:pStyle w:val="Normal"/>
        <w:rPr>
          <w:sz w:val="24"/>
        </w:rPr>
      </w:pPr>
      <w:r>
        <w:rPr>
          <w:sz w:val="24"/>
        </w:rPr>
      </w:r>
    </w:p>
    <w:p>
      <w:pPr>
        <w:pStyle w:val="Normal"/>
        <w:rPr>
          <w:sz w:val="24"/>
        </w:rPr>
      </w:pPr>
      <w:r>
        <w:rPr>
          <w:sz w:val="24"/>
        </w:rPr>
        <w:t>Today, I introduced one of the most important legislative proposals I’ve worked on since coming to Congress.</w:t>
      </w:r>
    </w:p>
    <w:p>
      <w:pPr>
        <w:pStyle w:val="Normal"/>
        <w:rPr>
          <w:sz w:val="24"/>
        </w:rPr>
      </w:pPr>
      <w:r>
        <w:rPr>
          <w:sz w:val="24"/>
        </w:rPr>
      </w:r>
    </w:p>
    <w:p>
      <w:pPr>
        <w:pStyle w:val="Normal"/>
        <w:rPr>
          <w:sz w:val="24"/>
        </w:rPr>
      </w:pPr>
      <w:r>
        <w:rPr>
          <w:sz w:val="24"/>
        </w:rPr>
        <w:t>H.R. 4541, “The Commodity Futures Modernization Act of 2000,” reauthorizes the regulatory body established under the Commodity Exchange Act (CEA), the Commodity Futures Trading Commission (CFTC).  The legislation will modernize the regulatory structure of the U.S. futures markets and provide legal certainty to many major segments of the U.S. financial industry.  Congress has recently passed legislation modernizing banking laws.  It is now time to modernize the laws for futures exchanges and the over-the-counter (OTC) industry.</w:t>
      </w:r>
    </w:p>
    <w:p>
      <w:pPr>
        <w:pStyle w:val="Normal"/>
        <w:rPr>
          <w:sz w:val="24"/>
        </w:rPr>
      </w:pPr>
      <w:r>
        <w:rPr>
          <w:sz w:val="24"/>
        </w:rPr>
      </w:r>
    </w:p>
    <w:p>
      <w:pPr>
        <w:pStyle w:val="Normal"/>
        <w:rPr>
          <w:sz w:val="24"/>
        </w:rPr>
      </w:pPr>
      <w:r>
        <w:rPr>
          <w:sz w:val="24"/>
        </w:rPr>
        <w:t xml:space="preserve">Authorization for the Commodity Exchange Act expires on September 30 of this year.  </w:t>
      </w:r>
    </w:p>
    <w:p>
      <w:pPr>
        <w:pStyle w:val="Normal"/>
        <w:rPr>
          <w:sz w:val="24"/>
        </w:rPr>
      </w:pPr>
      <w:r>
        <w:rPr>
          <w:sz w:val="24"/>
        </w:rPr>
        <w:t xml:space="preserve">H.R. 4541 would reauthorize the CFTC for five years and would reform the Act in three primary ways: 1) it would incorporate the President’s Working Group (PWG) findings on legal certainty for OTC derivatives; 2) it would codify the regulatory relief proposal of the CFTC as it applies to the U.S. futures exchanges and 3) it would reform the Shad-Johnson jurisdictional accord regarding futures on securities. </w:t>
      </w:r>
    </w:p>
    <w:p>
      <w:pPr>
        <w:pStyle w:val="Normal"/>
        <w:rPr>
          <w:sz w:val="24"/>
        </w:rPr>
      </w:pPr>
      <w:r>
        <w:rPr>
          <w:sz w:val="24"/>
        </w:rPr>
      </w:r>
    </w:p>
    <w:p>
      <w:pPr>
        <w:pStyle w:val="Normal"/>
        <w:rPr>
          <w:sz w:val="24"/>
        </w:rPr>
      </w:pPr>
      <w:r>
        <w:rPr>
          <w:sz w:val="24"/>
        </w:rPr>
        <w:t xml:space="preserve"> </w:t>
      </w:r>
      <w:r>
        <w:rPr>
          <w:sz w:val="24"/>
        </w:rPr>
        <w:t>I have made it clear that I was interested in a comprehensive bill, and I believe this bill substantively addresses the most important reforms discussed in my Subcommittee hearings.  For the first time, Members of the PWG, many of the futures exchanges and many over-the-counter parties have agreed on a framework to deal with legal certainty.  I believe that now is the time to act.  America’s financial industry is involved in a global battle.  If the U.S. futures exchanges and OTC industry are to compete with new electronic exchanges and other foreign competition such as EUREX, we need to send a clear message that the United States will have a fair and competitive regulatory system.</w:t>
      </w:r>
    </w:p>
    <w:p>
      <w:pPr>
        <w:pStyle w:val="Normal"/>
        <w:rPr>
          <w:sz w:val="24"/>
        </w:rPr>
      </w:pPr>
      <w:r>
        <w:rPr>
          <w:sz w:val="24"/>
        </w:rPr>
      </w:r>
    </w:p>
    <w:p>
      <w:pPr>
        <w:pStyle w:val="Normal"/>
        <w:rPr/>
      </w:pPr>
      <w:r>
        <w:rPr>
          <w:sz w:val="24"/>
        </w:rPr>
        <w:t xml:space="preserve">1).  </w:t>
      </w:r>
      <w:r>
        <w:rPr>
          <w:sz w:val="24"/>
          <w:u w:val="single"/>
        </w:rPr>
        <w:t>Legal Certainty for over-the-counter derivatives:</w:t>
      </w:r>
      <w:r>
        <w:rPr>
          <w:sz w:val="24"/>
        </w:rPr>
        <w:t xml:space="preserve">   Because the word commodity has never been clearly defined, there has been much debate over who the appropriate regulator should be for many OTC derivatives.  In 1998, the CFTC released a concept release on OTC derivatives, which was perceived by many as a precursor to regulating these instruments.  The Treasury Department, the Federal Reserve, and the Securities and Exchange Commission (SEC) opposed this release and requested that Congress enact a moratorium on the CFTC’s ability to regulate these instruments until after the PWG could complete a study on the issue.  Congress enacted a six month moratorium on the CFTC.  In November 1999, the PWG released its unanimous report on OTC derivatives.  </w:t>
      </w:r>
    </w:p>
    <w:p>
      <w:pPr>
        <w:pStyle w:val="Normal"/>
        <w:rPr>
          <w:sz w:val="24"/>
        </w:rPr>
      </w:pPr>
      <w:r>
        <w:rPr>
          <w:sz w:val="24"/>
        </w:rPr>
      </w:r>
    </w:p>
    <w:p>
      <w:pPr>
        <w:pStyle w:val="Normal"/>
        <w:rPr>
          <w:sz w:val="24"/>
        </w:rPr>
      </w:pPr>
      <w:r>
        <w:rPr>
          <w:sz w:val="24"/>
        </w:rPr>
      </w:r>
    </w:p>
    <w:p>
      <w:pPr>
        <w:pStyle w:val="Normal"/>
        <w:rPr>
          <w:sz w:val="24"/>
        </w:rPr>
      </w:pPr>
      <w:r>
        <w:rPr>
          <w:sz w:val="24"/>
        </w:rPr>
        <w:t>The report concluded that bilateral swap agreements entered into by eligible parties (large and/or sophisticated) and done on a principal-to-principal basis should be excluded from the CEA.  The report also discloses the PWG’s belief that these agreements be allowed on certain electronic trading systems that should be excluded from the CEA and that clearing for these products should be encouraged to prevent systemic risk.</w:t>
      </w:r>
    </w:p>
    <w:p>
      <w:pPr>
        <w:pStyle w:val="Normal"/>
        <w:rPr>
          <w:sz w:val="24"/>
        </w:rPr>
      </w:pPr>
      <w:r>
        <w:rPr>
          <w:sz w:val="24"/>
        </w:rPr>
      </w:r>
    </w:p>
    <w:p>
      <w:pPr>
        <w:pStyle w:val="Normal"/>
        <w:rPr>
          <w:sz w:val="24"/>
        </w:rPr>
      </w:pPr>
      <w:r>
        <w:rPr>
          <w:sz w:val="24"/>
        </w:rPr>
        <w:t>The bill is based on many of these ideas.  Because of concerns over the possibility that products with a finite supply may be subject to manipulation, all agricultural products will remain under the purview of the CEA.</w:t>
      </w:r>
    </w:p>
    <w:p>
      <w:pPr>
        <w:pStyle w:val="Normal"/>
        <w:rPr>
          <w:sz w:val="24"/>
        </w:rPr>
      </w:pPr>
      <w:r>
        <w:rPr>
          <w:sz w:val="24"/>
        </w:rPr>
      </w:r>
    </w:p>
    <w:p>
      <w:pPr>
        <w:pStyle w:val="Normal"/>
        <w:rPr>
          <w:sz w:val="24"/>
        </w:rPr>
      </w:pPr>
      <w:r>
        <w:rPr>
          <w:sz w:val="24"/>
        </w:rPr>
        <w:t xml:space="preserve">Also, energy and metal products present a unique situation.  They are largely traded in both futures markets and in OTC markets.  Energy products have been exempted from the CEA by a CFTC order since 1993.  H.R. 4541 creates a statutory exemption for energy and metals products. </w:t>
      </w:r>
    </w:p>
    <w:p>
      <w:pPr>
        <w:pStyle w:val="Normal"/>
        <w:rPr>
          <w:sz w:val="24"/>
        </w:rPr>
      </w:pPr>
      <w:r>
        <w:rPr>
          <w:sz w:val="24"/>
        </w:rPr>
      </w:r>
    </w:p>
    <w:p>
      <w:pPr>
        <w:pStyle w:val="Normal"/>
        <w:rPr/>
      </w:pPr>
      <w:r>
        <w:rPr>
          <w:sz w:val="24"/>
        </w:rPr>
        <w:t xml:space="preserve">2) </w:t>
      </w:r>
      <w:r>
        <w:rPr>
          <w:sz w:val="24"/>
          <w:u w:val="single"/>
        </w:rPr>
        <w:t>CFTC’s Regulatory Relief Proposal:</w:t>
      </w:r>
      <w:r>
        <w:rPr>
          <w:sz w:val="24"/>
        </w:rPr>
        <w:t xml:space="preserve">   In February of this year, the CFTC issued a regulatory relief proposal that would provide relief to futures exchanges and their customers.  The CFTC would move from a frontline regulatory role to more of an oversight role.  Instead of listing specific requirements for complying with the CEA, the proposal would require exchanges to meet internationally agreed-upon standards, which would provide needed flexibility for these fluid markets of today’s world.  The proposal creates three levels of regulation for exchanges based on whether the underlying commodities being traded are susceptible to manipulation, such as agricultural products, or whether the users of the exchange are limited to institutional customers.  The first level of regulation is most like the current exchange structure.  It will offer the most customer protection and be open to retail investors.  The second level of regulation will be limited mainly to products insusceptible to manipulation and must be traded by or through appropriate persons.  The third level of regulation will be open only to large or sophisticated investors who trade on products that are considered insusceptible to manipulation.</w:t>
      </w:r>
    </w:p>
    <w:p>
      <w:pPr>
        <w:pStyle w:val="Normal"/>
        <w:rPr>
          <w:sz w:val="24"/>
        </w:rPr>
      </w:pPr>
      <w:r>
        <w:rPr>
          <w:sz w:val="24"/>
        </w:rPr>
      </w:r>
    </w:p>
    <w:p>
      <w:pPr>
        <w:pStyle w:val="Normal"/>
        <w:rPr>
          <w:sz w:val="24"/>
        </w:rPr>
      </w:pPr>
      <w:r>
        <w:rPr>
          <w:sz w:val="24"/>
        </w:rPr>
        <w:t>I have included language at the request of agricultural producer groups that restates the Commission’s emergency powers over agricultural instruments.  Language was also added to ensure that the producer groups have adequate input in the rulemaking process.  Agricultural products are allowed to be traded only under the first level of regulation.</w:t>
      </w:r>
    </w:p>
    <w:p>
      <w:pPr>
        <w:pStyle w:val="Normal"/>
        <w:rPr>
          <w:sz w:val="24"/>
        </w:rPr>
      </w:pPr>
      <w:r>
        <w:rPr>
          <w:sz w:val="24"/>
        </w:rPr>
      </w:r>
    </w:p>
    <w:p>
      <w:pPr>
        <w:pStyle w:val="Normal"/>
        <w:rPr>
          <w:sz w:val="24"/>
        </w:rPr>
      </w:pPr>
      <w:r>
        <w:rPr>
          <w:sz w:val="24"/>
        </w:rPr>
        <w:t>Chairman Rainer and the Commission have been very cooperative for which I’m greatly appreciative.</w:t>
      </w:r>
    </w:p>
    <w:p>
      <w:pPr>
        <w:pStyle w:val="Normal"/>
        <w:rPr>
          <w:sz w:val="24"/>
        </w:rPr>
      </w:pPr>
      <w:r>
        <w:rPr>
          <w:sz w:val="24"/>
        </w:rPr>
      </w:r>
    </w:p>
    <w:p>
      <w:pPr>
        <w:pStyle w:val="Normal"/>
        <w:rPr/>
      </w:pPr>
      <w:r>
        <w:rPr>
          <w:sz w:val="24"/>
        </w:rPr>
        <w:t xml:space="preserve">3) </w:t>
      </w:r>
      <w:r>
        <w:rPr>
          <w:sz w:val="24"/>
          <w:u w:val="single"/>
        </w:rPr>
        <w:t>Reform of the Shad-Johnson Jurisdictional Accord:</w:t>
      </w:r>
      <w:r>
        <w:rPr>
          <w:sz w:val="24"/>
        </w:rPr>
        <w:t xml:space="preserve"> In 1982, SEC Chairman John Shad and CFTC Chairman Phil Johnson reached an agreement on dividing jurisdiction between the agencies for those products that had characteristics of both securities and futures.  Known as the Shad-Johnson Accord, this agreement prohibited single stock futures and delineated jurisdiction between the SEC and the CFTC on stock index futures and options.  Meant as a temporary agreement, many have suggested that the Shad-Johnson accord should be repealed.  The PWG </w:t>
      </w:r>
    </w:p>
    <w:p>
      <w:pPr>
        <w:sectPr>
          <w:footerReference w:type="default" r:id="rId2"/>
          <w:type w:val="nextPage"/>
          <w:pgSz w:w="12240" w:h="15840"/>
          <w:pgMar w:left="1440" w:right="1440" w:gutter="0" w:header="0" w:top="1260" w:footer="1440" w:bottom="1496"/>
          <w:pgNumType w:fmt="decimal"/>
          <w:formProt w:val="false"/>
          <w:textDirection w:val="lrTb"/>
          <w:docGrid w:type="default" w:linePitch="360" w:charSpace="0"/>
        </w:sectPr>
      </w:pPr>
    </w:p>
    <w:p>
      <w:pPr>
        <w:pStyle w:val="Normal"/>
        <w:rPr>
          <w:sz w:val="24"/>
        </w:rPr>
      </w:pPr>
      <w:r>
        <w:rPr>
          <w:sz w:val="24"/>
        </w:rPr>
        <w:t xml:space="preserve">unanimously agreed that the Accord can be repealed if regulatory disparities are resolved between the regulation of futures and securities.  The GAO released a report that found that single stock futures are being traded in foreign markets, in the options markets and in the OTC markets. This report concludes that futures on securities should be allowed under the appropriate regulatory framework.  Earlier this year, I requested that the CFTC and the SEC make recommendations and provide the Subcommittee legislative language to reform the Shad-Johnson Accord.  The agencies agreed that they would share jurisdiction on regulating these products, that dual trading would be banned, that margins would be set equivalent to the levels on options markets, and that the SEC would enforce the insider trading laws on these products.  </w:t>
      </w:r>
    </w:p>
    <w:p>
      <w:pPr>
        <w:pStyle w:val="Normal"/>
        <w:rPr>
          <w:sz w:val="24"/>
        </w:rPr>
      </w:pPr>
      <w:r>
        <w:rPr>
          <w:sz w:val="24"/>
        </w:rPr>
      </w:r>
    </w:p>
    <w:p>
      <w:pPr>
        <w:pStyle w:val="Normal"/>
        <w:rPr>
          <w:sz w:val="24"/>
        </w:rPr>
      </w:pPr>
      <w:r>
        <w:rPr>
          <w:sz w:val="24"/>
        </w:rPr>
        <w:t>GAO’s report also identified three areas of significant concern – insider trading, margin and suitability.  The issues addressed by the agencies and GAO report are incorporated into the bill by importing securities law provisions and providing a level playing field for all markets.</w:t>
      </w:r>
    </w:p>
    <w:p>
      <w:pPr>
        <w:pStyle w:val="Normal"/>
        <w:rPr>
          <w:sz w:val="24"/>
        </w:rPr>
      </w:pPr>
      <w:r>
        <w:rPr>
          <w:sz w:val="24"/>
        </w:rPr>
      </w:r>
    </w:p>
    <w:p>
      <w:pPr>
        <w:pStyle w:val="Normal"/>
        <w:rPr>
          <w:sz w:val="24"/>
        </w:rPr>
      </w:pPr>
      <w:r>
        <w:rPr>
          <w:sz w:val="24"/>
        </w:rPr>
        <w:t>To be eligible to be traded, a single stock futures contract must be a) cash-settled; b) traded on a security with sufficient liquidity that it would be eligible for options trading under SEC requirements; c) subject to margin levels that are no less than comparable stock options under SEC requirements; d) traded on boards of trade that outlaw dual trading in single stock futures contracts; and e) traded on boards of trade that will collect, maintain and promptly provide to the SEC any information the SEC needs to carry out its enforcement responsibilities.  If the CFTC determines any of these conditions would not be met, it must deny a board of trade’s application to trade these products.  If the SEC believes that any of these conditions would not be met, it may so advise the CFTC and elect to pursue specified legal procedures, including judicial review, to vindicate its position.</w:t>
      </w:r>
    </w:p>
    <w:p>
      <w:pPr>
        <w:pStyle w:val="Normal"/>
        <w:rPr>
          <w:sz w:val="24"/>
        </w:rPr>
      </w:pPr>
      <w:r>
        <w:rPr>
          <w:sz w:val="24"/>
        </w:rPr>
      </w:r>
    </w:p>
    <w:p>
      <w:pPr>
        <w:pStyle w:val="Normal"/>
        <w:rPr>
          <w:sz w:val="24"/>
        </w:rPr>
      </w:pPr>
      <w:r>
        <w:rPr>
          <w:sz w:val="24"/>
        </w:rPr>
        <w:t>I look forward to working with my colleagues in the House and Senate to move CEA modernization legislation.  Many in the financial industry have worked hard and compromised to get this far, and I look forward to continue working with them.  Finally, many of the Members of the PWG have put forward great effort to help in this process and I know their continued input will be most helpful to the Subcommittee.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w:t>
      </w:r>
    </w:p>
    <w:p>
      <w:pPr>
        <w:pStyle w:val="Normal"/>
        <w:ind w:start="720" w:end="0"/>
        <w:rPr>
          <w:sz w:val="24"/>
        </w:rPr>
      </w:pPr>
      <w:r>
        <w:rPr>
          <w:sz w:val="24"/>
        </w:rPr>
      </w:r>
    </w:p>
    <w:sectPr>
      <w:type w:val="continuous"/>
      <w:pgSz w:w="12240" w:h="15840"/>
      <w:pgMar w:left="1440" w:right="1440" w:gutter="0" w:header="0" w:top="126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sz w:val="24"/>
    </w:rPr>
  </w:style>
  <w:style w:type="paragraph" w:styleId="Heading2">
    <w:name w:val="heading 2"/>
    <w:basedOn w:val="Normal"/>
    <w:next w:val="Normal"/>
    <w:qFormat/>
    <w:pPr>
      <w:keepNext w:val="true"/>
      <w:numPr>
        <w:ilvl w:val="1"/>
        <w:numId w:val="1"/>
      </w:numPr>
      <w:tabs>
        <w:tab w:val="clear" w:pos="720"/>
        <w:tab w:val="center" w:pos="4680" w:leader="none"/>
      </w:tabs>
      <w:jc w:val="center"/>
      <w:outlineLvl w:val="1"/>
    </w:pPr>
    <w:rPr>
      <w:b/>
      <w:bCs/>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2000-05-25T19:08:00Z</dcterms:created>
  <dc:creator>Ryan Weston</dc:creator>
  <dc:description/>
  <dc:language>en-CA</dc:language>
  <cp:lastModifiedBy>Ryan Weston</cp:lastModifiedBy>
  <cp:lastPrinted>2000-05-25T17:38:00Z</cp:lastPrinted>
  <dcterms:modified xsi:type="dcterms:W3CDTF">2000-05-25T19:39:00Z</dcterms:modified>
  <cp:revision>3</cp:revision>
  <dc:subject/>
  <dc:title/>
</cp:coreProperties>
</file>