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Today, Congress passed the Commodity Futures Modernization Act of 2000.  The general purpose of the Act is to, among other things, eliminate unnecessary regulation of commodity futures exchanges and other entities (including Enron) regulated by the Commodities Exchange Act and to provide legal certainty with regard to certain futures and derivative transactions.  By enacting changes to existing legislation, Congress intends to promote product innovation and to enhance the competitive position of US financial markets.</w:t>
      </w:r>
    </w:p>
    <w:p>
      <w:pPr>
        <w:pStyle w:val="Normal"/>
        <w:rPr/>
      </w:pPr>
      <w:r>
        <w:rPr/>
      </w:r>
    </w:p>
    <w:p>
      <w:pPr>
        <w:pStyle w:val="Normal"/>
        <w:rPr/>
      </w:pPr>
      <w:r>
        <w:rPr/>
        <w:t>Certain provisions of the Act should open the door for Enron’s further product innovation and growth.  Specifically, the Act provides</w:t>
      </w:r>
      <w:r>
        <w:rPr>
          <w:rFonts w:cs="CG Times;Times New Roman" w:ascii="CG Times;Times New Roman" w:hAnsi="CG Times;Times New Roman"/>
        </w:rPr>
        <w:t xml:space="preserve"> important legal certainty for energy and other commodity transactions occurring both on an over-the-counter bilateral basis and on multilateral electronic platforms.  Bilateral transactions that do not occur on a trading facility (i.e., not on a multi-party exchange, hence EnronOnline is not yet a “trading facility” under the Act) in all commodities (other than agricultural commodities) are exempt from most provisions of the Commodity Exchange Act (“CEA”) as long as the transactions are entered into solely between “eligible contract participants” (i.e., persons and certain legal entities satisfying capital thresholds and other requirements under the Act.)  This provision essentially codifies and expands existing CFTC exemptions for swaps and forward contracts, thereby eliminating a degree of legal ambiguity.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In addition, the Act creates a broad exemption for any agreement, contract or transaction in commodities (other than agricultural commodities) so long as the transactions are between “eligible commercial entities”, are entered into on a “principal-to-principal basis” and that take place on a multi-party “electronic trading facility”.  This exemption could facilitate expansion of the EnronOnline trading platform to allow for multiparty transactions.  However, expansion of EnronOnline into the multiparty trading market is limited by the requirement that transactions only be entered into on a “principal-to-principal basis” (i.e., without brokers) between eligible commercial entities (a smaller class of potential counter parties relative to “eligible commercial participants”.)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The Act also creates a broad exclusion for a number of commodities that are of interest to Enron, including “credit risk or measure” and weather derivatives (“an occurrence . . . that is (I) beyond the control of the parties . . . and (II) associated with a financial, commercial, or economic consequence.”).  The provisions of the derivatives transaction exclusion apply only to agreements between “eligible contract participants” that are not executed or traded on a multiparty “trading facility”.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The bulk of the 270-page Act affects the regulation of commodity products and markets that may not yet be directly relevant to Enron.  For example, the Act resolves a jurisdictional dispute between the SEC and CFTC over regulation single stock futures and also establishes a regulatory regime for clearing OTC transactions.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Attached is a 3-page summary of the Act prepared by ISDA that provides a brief explanation of other relevant sections.  If you have any questions about the Act, please contact Mark Taylor at 713-853-7459.</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2000-12-15T13:34:00Z</dcterms:created>
  <dc:creator>tbriggs</dc:creator>
  <dc:description/>
  <dc:language>en-CA</dc:language>
  <cp:lastModifiedBy>tbriggs</cp:lastModifiedBy>
  <dcterms:modified xsi:type="dcterms:W3CDTF">2000-12-15T16:08:00Z</dcterms:modified>
  <cp:revision>2</cp:revision>
  <dc:subject/>
  <dc:title>Today, Congress passed the Commodity Futures Modernization Act of 2000</dc:title>
</cp:coreProperties>
</file>