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bookmarkStart w:id="0" w:name="Title"/>
      <w:bookmarkEnd w:id="0"/>
      <w:r>
        <w:rPr/>
        <w:t>Memorandum</w:t>
      </w:r>
    </w:p>
    <w:p>
      <w:pPr>
        <w:pStyle w:val="MessageHeaderFirst"/>
        <w:rPr/>
      </w:pPr>
      <w:bookmarkStart w:id="1" w:name="Title"/>
      <w:bookmarkEnd w:id="1"/>
      <w:r>
        <w:rPr>
          <w:rStyle w:val="MessageHeaderLabel"/>
        </w:rPr>
        <w:t>Date:</w:t>
        <w:tab/>
      </w:r>
      <w:r>
        <w:rPr/>
        <w:t>4/20/00</w:t>
      </w:r>
    </w:p>
    <w:p>
      <w:pPr>
        <w:pStyle w:val="MessageHeader"/>
        <w:rPr/>
      </w:pPr>
      <w:r>
        <w:rPr>
          <w:rStyle w:val="MessageHeaderLabel"/>
        </w:rPr>
        <w:t>To:</w:t>
        <w:tab/>
      </w:r>
      <w:r>
        <w:rPr/>
        <w:t>U.S. Regulatory Committee</w:t>
      </w:r>
    </w:p>
    <w:p>
      <w:pPr>
        <w:pStyle w:val="MessageHeader"/>
        <w:rPr/>
      </w:pPr>
      <w:r>
        <w:rPr>
          <w:rStyle w:val="MessageHeaderLabel"/>
        </w:rPr>
        <w:t>From:</w:t>
        <w:tab/>
      </w:r>
      <w:r>
        <w:rPr/>
        <w:t>Stacy Carey</w:t>
      </w:r>
    </w:p>
    <w:p>
      <w:pPr>
        <w:pStyle w:val="MessageHeaderLast"/>
        <w:rPr/>
      </w:pPr>
      <w:r>
        <w:rPr>
          <w:rStyle w:val="MessageHeaderLabel"/>
        </w:rPr>
        <w:t>RE:</w:t>
        <w:tab/>
      </w:r>
      <w:r>
        <w:rPr/>
        <w:t>Update on Commodity Exchange Act Reform Initiatives</w:t>
      </w:r>
    </w:p>
    <w:p>
      <w:pPr>
        <w:pStyle w:val="BodyText"/>
        <w:numPr>
          <w:ilvl w:val="0"/>
          <w:numId w:val="2"/>
        </w:numPr>
        <w:rPr/>
      </w:pPr>
      <w:r>
        <w:rPr>
          <w:u w:val="single"/>
        </w:rPr>
        <w:t xml:space="preserve">Senate Agriculture Committee Legislation:  </w:t>
      </w:r>
      <w:r>
        <w:rPr/>
        <w:tab/>
        <w:tab/>
        <w:tab/>
        <w:tab/>
      </w:r>
    </w:p>
    <w:p>
      <w:pPr>
        <w:pStyle w:val="BodyText"/>
        <w:numPr>
          <w:ilvl w:val="0"/>
          <w:numId w:val="7"/>
        </w:numPr>
        <w:tabs>
          <w:tab w:val="clear" w:pos="720"/>
          <w:tab w:val="left" w:pos="1800" w:leader="none"/>
        </w:tabs>
        <w:ind w:hanging="360" w:start="720" w:end="0"/>
        <w:rPr/>
      </w:pPr>
      <w:r>
        <w:rPr>
          <w:i/>
        </w:rPr>
        <w:t>Meeting:</w:t>
      </w:r>
      <w:r>
        <w:rPr/>
        <w:t xml:space="preserve"> On Tuesday, April 11,2000 ISDA and the Ad Hoc Coalition met with the Chicago Board of Trade and the Chicago Mercantile Exchange at the request of Senate Agriculture Committee Staff.  Walt Lukken, Marcia Asquith of Senator Lugar’s staff, and Mark Halverson of Senator Harkin’s staff were in attendance.  </w:t>
      </w:r>
    </w:p>
    <w:p>
      <w:pPr>
        <w:pStyle w:val="BodyText"/>
        <w:numPr>
          <w:ilvl w:val="0"/>
          <w:numId w:val="7"/>
        </w:numPr>
        <w:tabs>
          <w:tab w:val="clear" w:pos="720"/>
          <w:tab w:val="left" w:pos="1800" w:leader="none"/>
        </w:tabs>
        <w:ind w:hanging="360" w:start="720" w:end="0"/>
        <w:rPr/>
      </w:pPr>
      <w:r>
        <w:rPr>
          <w:i/>
        </w:rPr>
        <w:t>Purpose of Meeting:</w:t>
      </w:r>
      <w:r>
        <w:rPr/>
        <w:t xml:space="preserve"> We were presented with a legal certainty and regulatory relief proposal drafted by the futures exchanges. The staff encouraged us to try to work through as many issues as possible in an effort to reach consensus within 48 hours prior to Lugar introducing his legislation. We agreed to do so and proceeded to discuss the issues outlined below.  However, we noted the serious time constraint in turning an agreement around in 48 hours.  In response, the staff indicated their frustration with the futures exchanges who were asked for their proposal by December 1999 and only presented it to the staff the prior week.  The Senate staff also indicated that Lugar would introduce legislation based on recommendations made by the Treasury Department, failing an agreement between the futures exchanges, the Coalition and ISDA.</w:t>
      </w:r>
    </w:p>
    <w:p>
      <w:pPr>
        <w:pStyle w:val="BodyText"/>
        <w:numPr>
          <w:ilvl w:val="0"/>
          <w:numId w:val="7"/>
        </w:numPr>
        <w:tabs>
          <w:tab w:val="clear" w:pos="720"/>
          <w:tab w:val="left" w:pos="1800" w:leader="none"/>
        </w:tabs>
        <w:ind w:hanging="360" w:start="720" w:end="0"/>
        <w:jc w:val="start"/>
        <w:rPr/>
      </w:pPr>
      <w:r>
        <w:rPr>
          <w:i/>
        </w:rPr>
        <w:t>Issues Discussed: Chicago Futures Exchange Proposal</w:t>
      </w:r>
    </w:p>
    <w:p>
      <w:pPr>
        <w:pStyle w:val="BodyText"/>
        <w:numPr>
          <w:ilvl w:val="0"/>
          <w:numId w:val="5"/>
        </w:numPr>
        <w:jc w:val="start"/>
        <w:rPr/>
      </w:pPr>
      <w:r>
        <w:rPr/>
        <w:t xml:space="preserve">Delete derivative contracts reference in board of trade definition </w:t>
      </w:r>
    </w:p>
    <w:p>
      <w:pPr>
        <w:pStyle w:val="BodyText"/>
        <w:numPr>
          <w:ilvl w:val="0"/>
          <w:numId w:val="5"/>
        </w:numPr>
        <w:jc w:val="start"/>
        <w:rPr/>
      </w:pPr>
      <w:r>
        <w:rPr/>
        <w:t xml:space="preserve">Confirm that dealer-customer systems are excluded from the “board of trade" definition. </w:t>
      </w:r>
    </w:p>
    <w:p>
      <w:pPr>
        <w:pStyle w:val="BodyText"/>
        <w:numPr>
          <w:ilvl w:val="0"/>
          <w:numId w:val="5"/>
        </w:numPr>
        <w:rPr/>
      </w:pPr>
      <w:r>
        <w:rPr/>
        <w:t xml:space="preserve">Utilize a term other than “Board of Trade” – Assure that the definition reflects the President’s Working Group Report. </w:t>
      </w:r>
    </w:p>
    <w:p>
      <w:pPr>
        <w:pStyle w:val="BodyText"/>
        <w:numPr>
          <w:ilvl w:val="0"/>
          <w:numId w:val="5"/>
        </w:numPr>
        <w:rPr/>
      </w:pPr>
      <w:r>
        <w:rPr/>
        <w:t xml:space="preserve">Expand scope of excluded products – to include products such as credit agreements (credit-related events), weather derivatives and energy derivatives.  Discussed concept of expanding scope to include all-non agricultural products, including energy products. However, non-financial physical commodities would remain subject to CFTC antimanipulation authority. </w:t>
      </w:r>
    </w:p>
    <w:p>
      <w:pPr>
        <w:pStyle w:val="BodyText"/>
        <w:numPr>
          <w:ilvl w:val="0"/>
          <w:numId w:val="5"/>
        </w:numPr>
        <w:rPr/>
      </w:pPr>
      <w:r>
        <w:rPr/>
        <w:t>Codify Swaps Exemption – as proposed to the CFTC in context of their regulatory relief framework</w:t>
      </w:r>
    </w:p>
    <w:p>
      <w:pPr>
        <w:pStyle w:val="BodyText"/>
        <w:numPr>
          <w:ilvl w:val="0"/>
          <w:numId w:val="5"/>
        </w:numPr>
        <w:rPr/>
      </w:pPr>
      <w:r>
        <w:rPr/>
        <w:t>Codify Hybrid Exemption – as proposed to the CFTC in context of their regulatory relief framework</w:t>
      </w:r>
    </w:p>
    <w:p>
      <w:pPr>
        <w:pStyle w:val="BodyText"/>
        <w:numPr>
          <w:ilvl w:val="0"/>
          <w:numId w:val="5"/>
        </w:numPr>
        <w:rPr/>
      </w:pPr>
      <w:r>
        <w:rPr/>
        <w:t xml:space="preserve">Clearing – include language that comports with the President’s Working Group to require regulation of clearing systems by the CFTC, FED, OCC, SEC or foreign regulator. </w:t>
      </w:r>
    </w:p>
    <w:p>
      <w:pPr>
        <w:pStyle w:val="BodyText"/>
        <w:numPr>
          <w:ilvl w:val="0"/>
          <w:numId w:val="5"/>
        </w:numPr>
        <w:rPr/>
      </w:pPr>
      <w:r>
        <w:rPr/>
        <w:t xml:space="preserve">Delete “not directly or indirectly” from  “board of trade” component of product exclusion to confirm that all transactions where swap dealers acting as a principal are excluded. </w:t>
      </w:r>
    </w:p>
    <w:p>
      <w:pPr>
        <w:pStyle w:val="BodyText"/>
        <w:numPr>
          <w:ilvl w:val="0"/>
          <w:numId w:val="5"/>
        </w:numPr>
        <w:rPr/>
      </w:pPr>
      <w:r>
        <w:rPr/>
        <w:t xml:space="preserve">Delete free-standing antifraud rule under “exempt board of trade” category </w:t>
      </w:r>
    </w:p>
    <w:p>
      <w:pPr>
        <w:pStyle w:val="BodyText"/>
        <w:numPr>
          <w:ilvl w:val="0"/>
          <w:numId w:val="5"/>
        </w:numPr>
        <w:rPr/>
      </w:pPr>
      <w:r>
        <w:rPr/>
        <w:t xml:space="preserve">Change “multiple” to “all” in “board of trade” definition </w:t>
      </w:r>
    </w:p>
    <w:p>
      <w:pPr>
        <w:pStyle w:val="BodyText"/>
        <w:numPr>
          <w:ilvl w:val="0"/>
          <w:numId w:val="4"/>
        </w:numPr>
        <w:ind w:hanging="360" w:start="1080" w:end="0"/>
        <w:rPr/>
      </w:pPr>
      <w:r>
        <w:rPr>
          <w:i/>
        </w:rPr>
        <w:t>Resolution of Issues</w:t>
      </w:r>
      <w:r>
        <w:rPr/>
        <w:t xml:space="preserve">: Chicago agreed to many but not all of the issues outlined in our discussion including the “directly or indirectly” issue. We were not able to reach consensus with Chicago before the Senate deadline.  </w:t>
      </w:r>
    </w:p>
    <w:p>
      <w:pPr>
        <w:pStyle w:val="BodyText"/>
        <w:numPr>
          <w:ilvl w:val="0"/>
          <w:numId w:val="4"/>
        </w:numPr>
        <w:ind w:hanging="360" w:start="1080" w:end="0"/>
        <w:rPr/>
      </w:pPr>
      <w:r>
        <w:rPr>
          <w:i/>
        </w:rPr>
        <w:t>Next Steps</w:t>
      </w:r>
      <w:r>
        <w:rPr/>
        <w:t xml:space="preserve">: Continue discussions with Chicago.  The Senate Agriculture Committee expects to have their legislative language available for our review next week. </w:t>
      </w:r>
    </w:p>
    <w:p>
      <w:pPr>
        <w:pStyle w:val="BodyText"/>
        <w:rPr/>
      </w:pPr>
      <w:r>
        <w:rPr/>
        <w:t xml:space="preserve">2. </w:t>
      </w:r>
      <w:r>
        <w:rPr>
          <w:u w:val="single"/>
        </w:rPr>
        <w:t>House Agriculture Committee Legislation</w:t>
      </w:r>
      <w:r>
        <w:rPr/>
        <w:tab/>
        <w:tab/>
        <w:tab/>
        <w:tab/>
      </w:r>
    </w:p>
    <w:p>
      <w:pPr>
        <w:pStyle w:val="BodyText"/>
        <w:numPr>
          <w:ilvl w:val="0"/>
          <w:numId w:val="3"/>
        </w:numPr>
        <w:ind w:hanging="360" w:start="1080" w:end="0"/>
        <w:rPr/>
      </w:pPr>
      <w:r>
        <w:rPr>
          <w:i/>
        </w:rPr>
        <w:t>Meeting</w:t>
      </w:r>
      <w:r>
        <w:rPr/>
        <w:t xml:space="preserve"> – On Wednesday, April 24, 2000, ISDA along with other industry representatives including the Coalition, CBOT, CME, a number of agriculture groups, and the NYSE, attended a meeting requested by Tom Ewing for the purpose of receiving a draft copy of the Subcommittee’s legislation. Our comments were requested within the week.  It is the Subcommittee’s intention to introduce legislation the first week in May upon Congress’ return from their spring recess.</w:t>
      </w:r>
    </w:p>
    <w:p>
      <w:pPr>
        <w:pStyle w:val="BodyText"/>
        <w:numPr>
          <w:ilvl w:val="0"/>
          <w:numId w:val="3"/>
        </w:numPr>
        <w:ind w:hanging="360" w:start="1080" w:end="0"/>
        <w:rPr/>
      </w:pPr>
      <w:r>
        <w:rPr>
          <w:i/>
        </w:rPr>
        <w:t>Ewing Legislation</w:t>
      </w:r>
      <w:r>
        <w:rPr/>
        <w:t xml:space="preserve"> – The bill has three titles: I. Legal Certainty, II. Regulatory Relief, III. Shad-Johnson Reform.  The legal certainty and regulatory relief sections of the bill are virtually identical to the Chicago proposal we discussed in the Senate.</w:t>
      </w:r>
    </w:p>
    <w:p>
      <w:pPr>
        <w:pStyle w:val="BodyText"/>
        <w:numPr>
          <w:ilvl w:val="0"/>
          <w:numId w:val="3"/>
        </w:numPr>
        <w:ind w:hanging="360" w:start="1080" w:end="0"/>
        <w:rPr>
          <w:i/>
          <w:i/>
        </w:rPr>
      </w:pPr>
      <w:r>
        <w:rPr>
          <w:i/>
        </w:rPr>
        <w:t xml:space="preserve">Meeting: </w:t>
      </w:r>
      <w:r>
        <w:rPr/>
        <w:t xml:space="preserve">On Thursday, April 20,2000 ISDA and the Ad Hoc Coalition met with House Agriculture Committee staff for the purposes of providing comment on the Ewing legislation.  We discussed the same ten issues discussed with the Senate Agriculture Committee.  Additionally, we mentioned our preference to retain the natural person threshold at the current $10 million level rather than at the $25 million level included in the bill.  We also restated our position that Shad-Johnson provisions not threaten passage of legal certainty or regulatory relief legislation. </w:t>
      </w:r>
    </w:p>
    <w:p>
      <w:pPr>
        <w:pStyle w:val="BodyText"/>
        <w:numPr>
          <w:ilvl w:val="0"/>
          <w:numId w:val="3"/>
        </w:numPr>
        <w:ind w:hanging="360" w:start="1080" w:end="0"/>
        <w:rPr>
          <w:i/>
          <w:i/>
        </w:rPr>
      </w:pPr>
      <w:r>
        <w:rPr>
          <w:i/>
        </w:rPr>
        <w:t xml:space="preserve">Next Steps: </w:t>
      </w:r>
      <w:r>
        <w:rPr>
          <w:iCs/>
        </w:rPr>
        <w:t>Continue conversations with Chicago futures exchanges early next week.</w:t>
      </w:r>
    </w:p>
    <w:p>
      <w:pPr>
        <w:pStyle w:val="BodyText"/>
        <w:rPr/>
      </w:pPr>
      <w:r>
        <w:rPr/>
        <w:t xml:space="preserve">3. </w:t>
      </w:r>
      <w:r>
        <w:rPr>
          <w:u w:val="single"/>
        </w:rPr>
        <w:t>CFTC Regulatory Framework Proposal</w:t>
      </w:r>
      <w:r>
        <w:rPr/>
        <w:tab/>
        <w:tab/>
        <w:tab/>
        <w:tab/>
        <w:tab/>
      </w:r>
    </w:p>
    <w:p>
      <w:pPr>
        <w:pStyle w:val="BodyText"/>
        <w:numPr>
          <w:ilvl w:val="0"/>
          <w:numId w:val="6"/>
        </w:numPr>
        <w:ind w:hanging="360" w:start="1080" w:end="0"/>
        <w:rPr/>
      </w:pPr>
      <w:r>
        <w:rPr>
          <w:i/>
        </w:rPr>
        <w:t xml:space="preserve">Meeting: </w:t>
      </w:r>
      <w:r>
        <w:rPr/>
        <w:t xml:space="preserve"> ISDA and the Coalition met with the CFTC on April 12, 2000. The CFTC staff accepted recommended suggestions relating to Part 35 modification and was receptive to modification of issues such as contract repudiation.  However, additional work remains on the definition of MTEF in order to assure the exclusion of single dealer systems, credit screened systems and communications systems.  No movement on energy derivatives. </w:t>
      </w:r>
    </w:p>
    <w:p>
      <w:pPr>
        <w:pStyle w:val="BodyText"/>
        <w:numPr>
          <w:ilvl w:val="0"/>
          <w:numId w:val="6"/>
        </w:numPr>
        <w:spacing w:before="0" w:after="220"/>
        <w:ind w:hanging="360" w:start="1080" w:end="0"/>
        <w:rPr/>
      </w:pPr>
      <w:r>
        <w:rPr>
          <w:i/>
        </w:rPr>
        <w:t xml:space="preserve">Next steps: </w:t>
      </w:r>
      <w:r>
        <w:rPr/>
        <w:t>Submit revised MTEF definition to CFTC</w:t>
      </w:r>
    </w:p>
    <w:sectPr>
      <w:headerReference w:type="default" r:id="rId2"/>
      <w:headerReference w:type="first" r:id="rId3"/>
      <w:footerReference w:type="default" r:id="rId4"/>
      <w:footerReference w:type="first" r:id="rId5"/>
      <w:type w:val="nextPage"/>
      <w:pgSz w:w="12240" w:h="15840"/>
      <w:pgMar w:left="1800" w:right="180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fldChar w:fldCharType="begin"/>
    </w:r>
    <w:r>
      <w:rPr/>
      <w:instrText xml:space="preserve"> PAGE </w:instrText>
    </w:r>
    <w:r>
      <w:rPr/>
      <w:fldChar w:fldCharType="separate"/>
    </w:r>
    <w:r>
      <w:rPr/>
      <w:t>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4/18/00</w:t>
      <w:tab/>
      <w:tab/>
      <w:t>Memorandum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1800"/>
        </w:tabs>
        <w:ind w:start="180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docVars>
    <w:docVar w:name="iMemoStyle" w:val="0"/>
    <w:docVar w:name="Memo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Stacy Memorandum</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2000-04-20T14:25:00Z</dcterms:created>
  <dc:creator>Chris Carey</dc:creator>
  <dc:description/>
  <dc:language>en-CA</dc:language>
  <cp:lastModifiedBy>CCAREY</cp:lastModifiedBy>
  <cp:lastPrinted>2000-04-20T12:55:00Z</cp:lastPrinted>
  <dcterms:modified xsi:type="dcterms:W3CDTF">2000-04-20T14:25:00Z</dcterms:modified>
  <cp:revision>2</cp:revision>
  <dc:subject/>
  <dc:title>Memorandum</dc:title>
</cp:coreProperties>
</file>