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rPr>
      </w:pPr>
      <w:r>
        <w:rPr>
          <w:sz w:val="28"/>
        </w:rPr>
        <w:t>Commodity Futures Modernization Act of 2000</w:t>
      </w:r>
    </w:p>
    <w:p>
      <w:pPr>
        <w:pStyle w:val="Normal"/>
        <w:rPr>
          <w:rFonts w:ascii="Book Antiqua" w:hAnsi="Book Antiqua" w:cs="Book Antiqua"/>
          <w:b/>
          <w:i/>
          <w:i/>
        </w:rPr>
      </w:pPr>
      <w:r>
        <w:rPr>
          <w:rFonts w:cs="Book Antiqua" w:ascii="Book Antiqua" w:hAnsi="Book Antiqua"/>
          <w:b/>
          <w:i/>
        </w:rPr>
        <w:t>Legislative Summary</w:t>
      </w:r>
    </w:p>
    <w:p>
      <w:pPr>
        <w:pStyle w:val="Normal"/>
        <w:rPr>
          <w:rFonts w:ascii="Book Antiqua" w:hAnsi="Book Antiqua" w:cs="Book Antiqua"/>
          <w:b/>
          <w:i/>
          <w:i/>
        </w:rPr>
      </w:pPr>
      <w:r>
        <w:rPr>
          <w:rFonts w:cs="Book Antiqua" w:ascii="Book Antiqua" w:hAnsi="Book Antiqua"/>
          <w:b/>
          <w:i/>
        </w:rPr>
      </w:r>
    </w:p>
    <w:p>
      <w:pPr>
        <w:pStyle w:val="Normal"/>
        <w:rPr>
          <w:rFonts w:ascii="Book Antiqua" w:hAnsi="Book Antiqua" w:cs="Book Antiqua"/>
        </w:rPr>
      </w:pPr>
      <w:r>
        <w:rPr>
          <w:rFonts w:cs="Book Antiqua" w:ascii="Book Antiqua" w:hAnsi="Book Antiqua"/>
        </w:rPr>
        <w:t>The Commodity Futures Modernization Act of 2000 (the Act) contains the major provisions of H.R. 4541, which passed the House of Representatives overwhelmingly (377-4) in October.  The provisions originally a part of H.R. 4541 now comprise Titles I and II of the Act.  These Titles address regulatory relief for the domestic futures exchanges, legal certainty for over-the-counter products, and allow the trading of single stock futures.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Two Titles were added as the result of recent negotiations.  These Titles provide guidelines for the role of the Securities Exchange Commission (SEC) in the regulation of swaps and exclude banking products from the Commodity Exchange Act.</w:t>
      </w:r>
    </w:p>
    <w:p>
      <w:pPr>
        <w:pStyle w:val="Normal"/>
        <w:rPr>
          <w:rFonts w:ascii="Book Antiqua" w:hAnsi="Book Antiqua" w:cs="Book Antiqua"/>
        </w:rPr>
      </w:pPr>
      <w:r>
        <w:rPr>
          <w:rFonts w:cs="Book Antiqua" w:ascii="Book Antiqua" w:hAnsi="Book Antiqua"/>
        </w:rPr>
      </w:r>
    </w:p>
    <w:p>
      <w:pPr>
        <w:pStyle w:val="BodyText"/>
        <w:rPr/>
      </w:pPr>
      <w:r>
        <w:rPr/>
        <w:t>Title I: Regulatory Relief and Legal Certainty for Over-the-Counter Instruments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Transactions in foreign currencies, government securities, and other described financial instruments that are excluded under current law by the so-called “Treasury Amendment” may continue to trade exclusive of CFTC jurisdiction.  This provision will allow banks and other regulated financial institutions to offer these products to their customers.  Under the Act, the CFTC will retain authorities to bring enforcement actions against fraudulent bucket shops selling foreign currency futures and options illegally.</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CFTC will not have jurisdiction over transactions in excluded commodities (non-agricultural) if they are traded between defined eligible contract participants and are not conducted on a trading facility that generally is described as a facility where bids and offers may be executed between multiple participants.  Transactions in excluded commodities may be conducted on electronic trading facilities if the transactions are on a bilateral basis between eligible contract participants.  CFTC will have no jurisdiction over transactions in excluded commodities.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Securities instruments with futures or option components (hybrid instruments) that meet a predominance test will not be subject to CFTC jurisdiction.</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Swap transactions on commodities are excluded specifically from CFTC jurisdiction, as long as the transactions are traded among eligible contract participants, individually negotiated, and not traded on a trading facility.</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CFTC will have defined and limited jurisdiction over certain exempt commodities (generally, energy products and metals) that are traded among eligible contract participants and are not traded on a trading facility.  With the exception of commodity options, eligible commercial entities are not subject to the Commodity Exchange Act’s fraud provisions.  Eligible commercial entities may conduct principle-to-principle trades on electronic trading facilities, and the CFTC may enforce its anti-fraud and anti-manipulation statutes and regulations within the prescribed manner set out in the Act.</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i/>
        </w:rPr>
        <w:t>Relief for Currently Regulated Futures Markets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Regulated futures markets (also called boards of trade) may set up trading facilities on three different levels.  If products are offered to retail customers, they must be traded in a designated contract market.  If the contracts are more complicated and persons may act as intermediaries, they may be traded through a derivatives transaction execution facility.  Finally, contracts traded on commodities not readily susceptible to manipulation and trade among eligible parties may trade on an exempt board of trade.</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Designated contract markets within boards of trade may establish and enforce its own rules to ensure fair and equitable markets with limited CFTC oversight so long as the contract market maintains trading standards and adheres to specified cope principles.  Futures and futures options on agricultural commodities enumerated in the CEAct must be conducted on a registered contract market.</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A board of trade operating contract markets may elect to operate as a registered derivatives transaction execution facility (DTEF) under conditions that set out the commodities that may be traded and persons that may trade on the DTEF.  Because trades must be done through a registered futures broker or between sophisticated parties, they may trade in this less-regulated environment where the must adhere to specified core principles.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All clearinghouses, systems or organizations are required to be regulated by a federal regulator.  Derivatives clearing organizations clearing transactions excluded from the CEAct may register with the CFTC and meet certain core principles.  Federal banking regulators will be the default regulator for any clearing system otherwise not regulated.</w:t>
      </w:r>
    </w:p>
    <w:p>
      <w:pPr>
        <w:pStyle w:val="Normal"/>
        <w:rPr>
          <w:rFonts w:ascii="Book Antiqua" w:hAnsi="Book Antiqua" w:cs="Book Antiqua"/>
        </w:rPr>
      </w:pPr>
      <w:r>
        <w:rPr>
          <w:rFonts w:cs="Book Antiqua" w:ascii="Book Antiqua" w:hAnsi="Book Antiqua"/>
        </w:rPr>
      </w:r>
    </w:p>
    <w:p>
      <w:pPr>
        <w:pStyle w:val="Heading1"/>
        <w:ind w:hanging="0" w:start="0"/>
        <w:rPr/>
      </w:pPr>
      <w:r>
        <w:rPr/>
        <w:t>Title II: Shad-Johnson Reform</w:t>
      </w:r>
    </w:p>
    <w:p>
      <w:pPr>
        <w:pStyle w:val="Normal"/>
        <w:rPr>
          <w:rFonts w:ascii="Book Antiqua" w:hAnsi="Book Antiqua" w:cs="Book Antiqua"/>
          <w:b/>
        </w:rPr>
      </w:pPr>
      <w:r>
        <w:rPr>
          <w:rFonts w:cs="Book Antiqua" w:ascii="Book Antiqua" w:hAnsi="Book Antiqua"/>
          <w:b/>
        </w:rPr>
      </w:r>
    </w:p>
    <w:p>
      <w:pPr>
        <w:pStyle w:val="Normal"/>
        <w:rPr>
          <w:rFonts w:ascii="Book Antiqua" w:hAnsi="Book Antiqua" w:cs="Book Antiqua"/>
        </w:rPr>
      </w:pPr>
      <w:r>
        <w:rPr>
          <w:rFonts w:cs="Book Antiqua" w:ascii="Book Antiqua" w:hAnsi="Book Antiqua"/>
        </w:rPr>
        <w:t>The bill language is a modified version of the agreement reached between CFTC Chairman Rainer and SEC Chairman Levitt.</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Single stock futures and certain defined “narrow-based” indexes listed to trade on national securities exchanges may trade on trading facilities subject to joint SEC-CFTC regulation.  Notwithstanding, this joint regulatory scheme, the SEC retains all authority over security futures contained in sections of the Securities Exchange Act of 1934, the Securities Act of 1933, the Investment Company Act of 1940 and the Investment Advisors Act of 1940.</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Stock futures and stock indexes between eligible contract participants on a principal-to-principal basis may begin trading eight months after enactment of the bill; general trading may begin one year after enactment.  Options on stock futures may not trade until the SEC and CFTC permit such trading in a joint determination that may not be concluded until three years after enactment.</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Reconciliation of tax treatment between security futures and security option contracts will be left to the Department of the treasury to resolve by regulation.</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Current futures exchanges may register as national securities exchanges by notifying the SEC in writing.  The registration is effective immediately.  Registered futures intermediaries, including floor traders and floor brokers, and registered futures associations receive exemptions from the securities laws.</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Margin requirements must be consistent between security futures and option markets and will be under the jurisdiction of the Federal Reserve, which may delegate its authority to the SEC and CFTC.</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Alternative Trading Systems (ATS) and DTEF’s may trade security futures products.  ATS is an association or group of persons registered as a broker-dealer under the securities laws.  ATS performs similar stock exchange functions.</w:t>
      </w:r>
    </w:p>
    <w:p>
      <w:pPr>
        <w:pStyle w:val="Normal"/>
        <w:rPr>
          <w:rFonts w:ascii="Book Antiqua" w:hAnsi="Book Antiqua" w:cs="Book Antiqua"/>
        </w:rPr>
      </w:pPr>
      <w:r>
        <w:rPr>
          <w:rFonts w:cs="Book Antiqua" w:ascii="Book Antiqua" w:hAnsi="Book Antiqua"/>
        </w:rPr>
      </w:r>
    </w:p>
    <w:p>
      <w:pPr>
        <w:pStyle w:val="Heading1"/>
        <w:ind w:hanging="0" w:start="0"/>
        <w:rPr/>
      </w:pPr>
      <w:r>
        <w:rPr/>
        <w:t>Title III: Legal Certainty for Swap Agreements</w:t>
      </w:r>
    </w:p>
    <w:p>
      <w:pPr>
        <w:pStyle w:val="Normal"/>
        <w:rPr>
          <w:rFonts w:ascii="Book Antiqua" w:hAnsi="Book Antiqua" w:cs="Book Antiqua"/>
          <w:b/>
        </w:rPr>
      </w:pPr>
      <w:r>
        <w:rPr>
          <w:rFonts w:cs="Book Antiqua" w:ascii="Book Antiqua" w:hAnsi="Book Antiqua"/>
          <w:b/>
        </w:rPr>
      </w:r>
    </w:p>
    <w:p>
      <w:pPr>
        <w:pStyle w:val="Normal"/>
        <w:rPr>
          <w:rFonts w:ascii="Book Antiqua" w:hAnsi="Book Antiqua" w:cs="Book Antiqua"/>
        </w:rPr>
      </w:pPr>
      <w:r>
        <w:rPr>
          <w:rFonts w:cs="Book Antiqua" w:ascii="Book Antiqua" w:hAnsi="Book Antiqua"/>
        </w:rPr>
        <w:t xml:space="preserve">Title III amends Gramm-Leach-Bliley to provide the guidelines for the SEC’s role in regulating equity based swaps in order to prevent fraud and manipulation. </w:t>
      </w:r>
    </w:p>
    <w:p>
      <w:pPr>
        <w:pStyle w:val="Normal"/>
        <w:rPr>
          <w:rFonts w:ascii="Book Antiqua" w:hAnsi="Book Antiqua" w:cs="Book Antiqua"/>
        </w:rPr>
      </w:pPr>
      <w:r>
        <w:rPr>
          <w:rFonts w:cs="Book Antiqua" w:ascii="Book Antiqua" w:hAnsi="Book Antiqua"/>
        </w:rPr>
      </w:r>
    </w:p>
    <w:p>
      <w:pPr>
        <w:pStyle w:val="Heading1"/>
        <w:ind w:hanging="0" w:start="0"/>
        <w:rPr/>
      </w:pPr>
      <w:r>
        <w:rPr/>
        <w:t>Title IV:  The “Legal Certainty for Bank Products Act of 2000”</w:t>
      </w:r>
    </w:p>
    <w:p>
      <w:pPr>
        <w:pStyle w:val="Normal"/>
        <w:rPr>
          <w:rFonts w:ascii="Book Antiqua" w:hAnsi="Book Antiqua" w:cs="Book Antiqua"/>
          <w:b/>
        </w:rPr>
      </w:pPr>
      <w:r>
        <w:rPr>
          <w:rFonts w:cs="Book Antiqua" w:ascii="Book Antiqua" w:hAnsi="Book Antiqua"/>
          <w:b/>
        </w:rPr>
      </w:r>
    </w:p>
    <w:p>
      <w:pPr>
        <w:pStyle w:val="Normal"/>
        <w:rPr>
          <w:rFonts w:ascii="Book Antiqua" w:hAnsi="Book Antiqua" w:cs="Book Antiqua"/>
        </w:rPr>
      </w:pPr>
      <w:r>
        <w:rPr>
          <w:rFonts w:cs="Book Antiqua" w:ascii="Book Antiqua" w:hAnsi="Book Antiqua"/>
        </w:rPr>
        <w:t>Excludes identified banking products from the CEA if the product was commonly offered, sold, or entered into by a bank before December 5, 2000, and was not prohibited by the CEA or regulated by the CFTC before December 5, 2000.</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Hybrid instruments that are predominantly banking products are not subject to CFTC jurisdiction.</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If the CFTC believes that a hybrid instrument is not predominantly a banking product, it must 1) consult with and seek the concurrence of the Federal Reserve Board, 2) if no agreement is reached and the CFTC makes any ruling or determination, the FED may ask for the action to be reviewed by the U.S. Court of Appeals for the District of Columbia Circuit.</w:t>
      </w:r>
    </w:p>
    <w:p>
      <w:pPr>
        <w:pStyle w:val="Normal"/>
        <w:rPr>
          <w:rFonts w:ascii="Book Antiqua" w:hAnsi="Book Antiqua" w:cs="Book Antiqua"/>
        </w:rPr>
      </w:pPr>
      <w:r>
        <w:rPr>
          <w:rFonts w:cs="Book Antiqua" w:ascii="Book Antiqua" w:hAnsi="Book Antiqua"/>
        </w:rPr>
      </w:r>
    </w:p>
    <w:p>
      <w:pPr>
        <w:pStyle w:val="Normal"/>
        <w:rPr>
          <w:rFonts w:ascii="Book Antiqua" w:hAnsi="Book Antiqua" w:cs="Book Antiqua"/>
        </w:rPr>
      </w:pPr>
      <w:r>
        <w:rPr>
          <w:rFonts w:cs="Book Antiqua" w:ascii="Book Antiqua" w:hAnsi="Book Antiqua"/>
        </w:rPr>
        <w:t>Finally, swaps are excluded from the CEA.</w:t>
      </w:r>
    </w:p>
    <w:sectPr>
      <w:type w:val="nextPage"/>
      <w:pgSz w:w="12240" w:h="15840"/>
      <w:pgMar w:left="1728" w:right="1728"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rFonts w:ascii="Book Antiqua" w:hAnsi="Book Antiqua" w:cs="Book Antiqua"/>
      <w:b/>
      <w:bCs/>
    </w:rPr>
  </w:style>
  <w:style w:type="character" w:styleId="DefaultParagraphFont">
    <w:name w:val="Default Paragraph Font"/>
    <w:qFormat/>
    <w:rPr/>
  </w:style>
  <w:style w:type="character" w:styleId="Emphasis">
    <w:name w:val="Emphasis"/>
    <w:basedOn w:val="DefaultParagraphFont"/>
    <w:qFormat/>
    <w:rPr>
      <w:i/>
      <w:iC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Book Antiqua" w:hAnsi="Book Antiqua" w:cs="Book Antiqua"/>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2000-12-14T20:00:00Z</dcterms:created>
  <dc:creator>Elizabeth Meyer</dc:creator>
  <dc:description/>
  <dc:language>en-CA</dc:language>
  <cp:lastModifiedBy>Stacy Carey</cp:lastModifiedBy>
  <cp:lastPrinted>2000-12-14T17:29:00Z</cp:lastPrinted>
  <dcterms:modified xsi:type="dcterms:W3CDTF">2000-12-14T20:00:00Z</dcterms:modified>
  <cp:revision>2</cp:revision>
  <dc:subject/>
  <dc:title>Commodity Futures Modernization Act of 2000</dc:title>
</cp:coreProperties>
</file>