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120" w:after="120"/>
        <w:rPr/>
      </w:pPr>
      <w:r>
        <w:rPr/>
        <w:t>Memorandum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8028"/>
      </w:tblGrid>
      <w:tr>
        <w:trPr/>
        <w:tc>
          <w:tcPr>
            <w:tcW w:w="1440" w:type="dxa"/>
            <w:tcBorders/>
          </w:tcPr>
          <w:p>
            <w:pPr>
              <w:pStyle w:val="Normal"/>
              <w:spacing w:before="240" w:after="240"/>
              <w:rPr>
                <w:b/>
                <w:caps/>
              </w:rPr>
            </w:pPr>
            <w:r>
              <w:rPr>
                <w:b/>
                <w:caps/>
              </w:rPr>
              <w:t>TO:</w:t>
            </w:r>
          </w:p>
        </w:tc>
        <w:tc>
          <w:tcPr>
            <w:tcW w:w="802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240" w:after="0"/>
              <w:rPr/>
            </w:pPr>
            <w:r>
              <w:rPr/>
              <w:t>Board of Directors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240" w:after="240"/>
              <w:rPr>
                <w:b/>
                <w:caps/>
              </w:rPr>
            </w:pPr>
            <w:r>
              <w:rPr>
                <w:b/>
                <w:caps/>
              </w:rPr>
              <w:t>From:</w:t>
            </w:r>
          </w:p>
        </w:tc>
        <w:tc>
          <w:tcPr>
            <w:tcW w:w="8028" w:type="dxa"/>
            <w:tcBorders/>
          </w:tcPr>
          <w:p>
            <w:pPr>
              <w:pStyle w:val="Normal"/>
              <w:spacing w:before="240" w:after="0"/>
              <w:rPr/>
            </w:pPr>
            <w:r>
              <w:rPr/>
              <w:t>Robert Pickel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240" w:after="240"/>
              <w:rPr>
                <w:b/>
                <w:caps/>
              </w:rPr>
            </w:pPr>
            <w:r>
              <w:rPr>
                <w:b/>
                <w:caps/>
              </w:rPr>
              <w:t>Date:</w:t>
            </w:r>
          </w:p>
        </w:tc>
        <w:tc>
          <w:tcPr>
            <w:tcW w:w="8028" w:type="dxa"/>
            <w:tcBorders/>
          </w:tcPr>
          <w:p>
            <w:pPr>
              <w:pStyle w:val="Normal"/>
              <w:spacing w:before="240" w:after="0"/>
              <w:rPr/>
            </w:pPr>
            <w:r>
              <w:rPr/>
              <w:t>March 27, 2001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240" w:after="240"/>
              <w:rPr>
                <w:b/>
                <w:caps/>
              </w:rPr>
            </w:pPr>
            <w:r>
              <w:rPr>
                <w:b/>
                <w:caps/>
              </w:rPr>
              <w:t>Re:</w:t>
            </w:r>
          </w:p>
        </w:tc>
        <w:tc>
          <w:tcPr>
            <w:tcW w:w="8028" w:type="dxa"/>
            <w:tcBorders/>
          </w:tcPr>
          <w:p>
            <w:pPr>
              <w:pStyle w:val="Normal"/>
              <w:spacing w:before="240" w:after="0"/>
              <w:rPr/>
            </w:pPr>
            <w:r>
              <w:rPr/>
              <w:t>Credit Derivatives Restructuring Issue</w:t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</wp:posOffset>
                </wp:positionV>
                <wp:extent cx="6858000" cy="0"/>
                <wp:effectExtent l="0" t="9525" r="0" b="9525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6pt,3.15pt" to="503.95pt,3.15pt" stroked="t" o:allowincell="f" style="position:absolute">
                <v:stroke color="black" weight="19080" joinstyle="miter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rPr/>
      </w:pPr>
      <w:r>
        <w:rPr/>
        <w:t>The first meeting of the newly-formed Credit Derivatives Committee took place on March 12, 2001. The chairs of the committee are Blythe Masters of J.P. Morgan and Paul Varotsis of Lehman.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this meeting a small group of representatives of firms with different perspectives on the product was formed to work to develop a response to the Restructuring debate in time for the Annual Meeting in Washington. There are six perspectives represented comprising London and New York groups in each of the following areas: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bank portfolio managers;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dealers; and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end user sellers of protection.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Each representative was asked to coordinate with similarly situated institutions to develop a common view on issues.  Materials have also been provided to the ISDA Tokyo and Singapore offices in order to solicit views in those regions.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 series of conference calls since the March 12 meeting, the group has produced a set of materials, which are now out for review by a wider group and the rating agencies. These materials are attached to this memorandum.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rStyle w:val="PageNumber"/>
      </w:rPr>
    </w:pPr>
    <w:r>
      <w:rPr>
        <w:b/>
        <w:sz w:val="48"/>
      </w:rPr>
      <w:t>ISDA</w:t>
    </w:r>
    <w:r>
      <w:rPr/>
      <w:t xml:space="preserve"> </w:t>
    </w:r>
    <w:r>
      <w:rPr>
        <w:sz w:val="20"/>
      </w:rPr>
      <w:t>International Swaps and Derivatives Association, Inc.</w:t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b/>
        <w:sz w:val="96"/>
      </w:rPr>
    </w:pPr>
    <w:r>
      <w:rPr>
        <w:b/>
        <w:sz w:val="96"/>
      </w:rPr>
      <w:t>ISDA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International Swaps and Derivatives Association, Inc.</w:t>
      <w:tab/>
      <w:tab/>
      <w:t>London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/>
    </w:pPr>
    <w:r>
      <w:rPr>
        <w:sz w:val="20"/>
      </w:rPr>
      <w:t>600 Fifth Avenue, 27</w:t>
    </w:r>
    <w:r>
      <w:rPr>
        <w:sz w:val="20"/>
        <w:vertAlign w:val="superscript"/>
      </w:rPr>
      <w:t>th</w:t>
    </w:r>
    <w:r>
      <w:rPr>
        <w:sz w:val="20"/>
      </w:rPr>
      <w:t xml:space="preserve"> Floor</w:t>
      <w:tab/>
      <w:tab/>
      <w:t>Telephone: 44 (20) 7330-3550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Rockefeller Center</w:t>
      <w:tab/>
      <w:tab/>
      <w:t>Facsimile: 44 (20) 7330-3555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New York, NY 10020-2302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United States of America</w:t>
      <w:tab/>
      <w:tab/>
      <w:t>Singapore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Telephone: 1 (212) 332-1200</w:t>
      <w:tab/>
      <w:tab/>
      <w:t xml:space="preserve">Telephone: </w:t>
    </w:r>
    <w:r>
      <w:rPr>
        <w:caps/>
        <w:sz w:val="20"/>
      </w:rPr>
      <w:t>(65)  538-3879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/>
    </w:pPr>
    <w:r>
      <w:rPr>
        <w:sz w:val="20"/>
      </w:rPr>
      <w:t>Facsimile: 1 (212) 332-1212</w:t>
      <w:tab/>
      <w:tab/>
      <w:t>Facsimile:</w:t>
    </w:r>
    <w:r>
      <w:rPr>
        <w:caps/>
        <w:sz w:val="20"/>
      </w:rPr>
      <w:t xml:space="preserve"> (65) 538-6942</w:t>
    </w:r>
    <w:r>
      <w:rPr>
        <w:sz w:val="20"/>
      </w:rPr>
      <w:t xml:space="preserve"> 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email: isda@isda.org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>website: www.isda.org</w:t>
      <w:tab/>
      <w:tab/>
      <w:t>Tokyo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ind w:start="-720" w:end="0"/>
      <w:rPr>
        <w:sz w:val="20"/>
      </w:rPr>
    </w:pPr>
    <w:r>
      <w:rPr>
        <w:sz w:val="20"/>
      </w:rPr>
      <w:tab/>
      <w:tab/>
      <w:t>Telephone: 81 (3) 5227-3282</w:t>
    </w:r>
  </w:p>
  <w:p>
    <w:pPr>
      <w:pStyle w:val="Header"/>
      <w:tabs>
        <w:tab w:val="clear" w:pos="8640"/>
        <w:tab w:val="center" w:pos="4320" w:leader="none"/>
        <w:tab w:val="right" w:pos="9360" w:leader="none"/>
        <w:tab w:val="left" w:pos="9990" w:leader="none"/>
      </w:tabs>
      <w:ind w:start="-720" w:end="0"/>
      <w:rPr>
        <w:sz w:val="20"/>
      </w:rPr>
    </w:pPr>
    <w:r>
      <w:rPr>
        <w:sz w:val="20"/>
      </w:rPr>
      <w:tab/>
      <w:tab/>
      <w:t>Facsimile: 81 (3) 5227-3283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sz w:val="20"/>
        <w:lang w:val="en-CA" w:eastAsia="en-CA"/>
      </w:rPr>
    </w:pPr>
    <w:r>
      <w:rPr>
        <w:sz w:val="20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-457200</wp:posOffset>
              </wp:positionH>
              <wp:positionV relativeFrom="paragraph">
                <wp:posOffset>91440</wp:posOffset>
              </wp:positionV>
              <wp:extent cx="6858000" cy="0"/>
              <wp:effectExtent l="0" t="9525" r="0" b="9525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6pt,7.2pt" to="503.95pt,7.2pt" stroked="t" o:allowincell="f" style="position:absolute">
              <v:stroke color="black" weight="190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caps/>
      <w:spacing w:val="50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Header"/>
    <w:pPr>
      <w:jc w:val="center"/>
    </w:pPr>
    <w:rPr>
      <w:caps/>
      <w:sz w:val="28"/>
    </w:rPr>
  </w:style>
  <w:style w:type="paragraph" w:styleId="TOC2">
    <w:name w:val="toc 2"/>
    <w:basedOn w:val="Normal"/>
    <w:next w:val="Heading1"/>
    <w:pPr>
      <w:ind w:hanging="720" w:start="720" w:end="0"/>
    </w:pPr>
    <w:rPr>
      <w:b/>
      <w:caps/>
    </w:rPr>
  </w:style>
  <w:style w:type="paragraph" w:styleId="TOC3">
    <w:name w:val="toc 3"/>
    <w:basedOn w:val="Normal"/>
    <w:next w:val="Heading2"/>
    <w:pPr>
      <w:ind w:hanging="720" w:start="1440" w:end="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2001-03-28T16:59:00Z</dcterms:created>
  <dc:creator>Barbara Hanlon</dc:creator>
  <dc:description/>
  <dc:language>en-CA</dc:language>
  <cp:lastModifiedBy>CYNTHIA</cp:lastModifiedBy>
  <dcterms:modified xsi:type="dcterms:W3CDTF">2001-03-28T19:11:00Z</dcterms:modified>
  <cp:revision>4</cp:revision>
  <dc:subject/>
  <dc:title>MEMORANDUM</dc:title>
</cp:coreProperties>
</file>