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spacing w:val="-140"/>
          <w:sz w:val="72"/>
        </w:rPr>
      </w:pPr>
      <w:r>
        <w:rPr>
          <w:spacing w:val="-140"/>
          <w:sz w:val="72"/>
        </w:rPr>
        <w:drawing>
          <wp:inline distT="0" distB="0" distL="0" distR="0">
            <wp:extent cx="5478780" cy="707390"/>
            <wp:effectExtent l="0" t="0" r="0" b="0"/>
            <wp:docPr id="1" name="IEPA%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PA%20logo" descr="" title=""/>
                    <pic:cNvPicPr>
                      <a:picLocks noChangeAspect="1" noChangeArrowheads="1"/>
                    </pic:cNvPicPr>
                  </pic:nvPicPr>
                  <pic:blipFill>
                    <a:blip r:embed="rId2"/>
                    <a:srcRect l="-5" t="-39" r="-5" b="-39"/>
                    <a:stretch>
                      <a:fillRect/>
                    </a:stretch>
                  </pic:blipFill>
                  <pic:spPr bwMode="auto">
                    <a:xfrm>
                      <a:off x="0" y="0"/>
                      <a:ext cx="5478780" cy="707390"/>
                    </a:xfrm>
                    <a:prstGeom prst="rect">
                      <a:avLst/>
                    </a:prstGeom>
                    <a:noFill/>
                  </pic:spPr>
                </pic:pic>
              </a:graphicData>
            </a:graphic>
          </wp:inline>
        </w:drawing>
      </w:r>
    </w:p>
    <w:p>
      <w:pPr>
        <w:pStyle w:val="Normal"/>
        <w:rPr/>
      </w:pPr>
      <w:r>
        <w:rPr/>
      </w:r>
    </w:p>
    <w:p>
      <w:pPr>
        <w:pStyle w:val="Normal"/>
        <w:rPr/>
      </w:pPr>
      <w:r>
        <w:rPr/>
      </w:r>
    </w:p>
    <w:p>
      <w:pPr>
        <w:pStyle w:val="Normal"/>
        <w:rPr/>
      </w:pPr>
      <w:r>
        <w:rPr/>
        <w:t>August 23, 2001</w:t>
      </w:r>
    </w:p>
    <w:p>
      <w:pPr>
        <w:pStyle w:val="Normal"/>
        <w:rPr>
          <w:sz w:val="16"/>
        </w:rPr>
      </w:pPr>
      <w:r>
        <w:rPr>
          <w:sz w:val="16"/>
        </w:rPr>
      </w:r>
    </w:p>
    <w:p>
      <w:pPr>
        <w:pStyle w:val="Normal"/>
        <w:rPr/>
      </w:pPr>
      <w:r>
        <w:rPr/>
        <w:t>Tom Hannigan</w:t>
      </w:r>
    </w:p>
    <w:p>
      <w:pPr>
        <w:pStyle w:val="Normal"/>
        <w:rPr/>
      </w:pPr>
      <w:r>
        <w:rPr/>
        <w:t>Director</w:t>
      </w:r>
    </w:p>
    <w:p>
      <w:pPr>
        <w:pStyle w:val="Normal"/>
        <w:rPr/>
      </w:pPr>
      <w:r>
        <w:rPr/>
        <w:t>California Department of Water Resources</w:t>
      </w:r>
    </w:p>
    <w:p>
      <w:pPr>
        <w:pStyle w:val="Normal"/>
        <w:rPr/>
      </w:pPr>
      <w:r>
        <w:rPr/>
        <w:t>1416 9</w:t>
      </w:r>
      <w:r>
        <w:rPr>
          <w:vertAlign w:val="superscript"/>
        </w:rPr>
        <w:t>th</w:t>
      </w:r>
      <w:r>
        <w:rPr/>
        <w:t xml:space="preserve"> Street </w:t>
      </w:r>
    </w:p>
    <w:p>
      <w:pPr>
        <w:pStyle w:val="Normal"/>
        <w:rPr/>
      </w:pPr>
      <w:r>
        <w:rPr/>
        <w:t>Sacramento, California 95814</w:t>
      </w:r>
    </w:p>
    <w:p>
      <w:pPr>
        <w:pStyle w:val="Normal"/>
        <w:rPr>
          <w:sz w:val="16"/>
        </w:rPr>
      </w:pPr>
      <w:r>
        <w:rPr>
          <w:sz w:val="16"/>
        </w:rPr>
      </w:r>
    </w:p>
    <w:p>
      <w:pPr>
        <w:pStyle w:val="Normal"/>
        <w:rPr>
          <w:sz w:val="16"/>
        </w:rPr>
      </w:pPr>
      <w:r>
        <w:rPr>
          <w:sz w:val="16"/>
        </w:rPr>
      </w:r>
    </w:p>
    <w:p>
      <w:pPr>
        <w:pStyle w:val="Normal"/>
        <w:rPr/>
      </w:pPr>
      <w:r>
        <w:rPr/>
        <w:t>Dear Mr. Hannigan:</w:t>
      </w:r>
    </w:p>
    <w:p>
      <w:pPr>
        <w:pStyle w:val="Normal"/>
        <w:rPr>
          <w:sz w:val="16"/>
        </w:rPr>
      </w:pPr>
      <w:r>
        <w:rPr>
          <w:sz w:val="16"/>
        </w:rPr>
      </w:r>
    </w:p>
    <w:p>
      <w:pPr>
        <w:pStyle w:val="Normal"/>
        <w:rPr/>
      </w:pPr>
      <w:r>
        <w:rPr/>
        <w:t xml:space="preserve">Attached please find a copy of the letter the Independent Energy Producers Association sent to the California Independent System Operator, along with their response, regarding creditworthiness.  </w:t>
      </w:r>
    </w:p>
    <w:p>
      <w:pPr>
        <w:pStyle w:val="Normal"/>
        <w:rPr/>
      </w:pPr>
      <w:r>
        <w:rPr/>
      </w:r>
    </w:p>
    <w:p>
      <w:pPr>
        <w:pStyle w:val="Normal"/>
        <w:rPr/>
      </w:pPr>
      <w:r>
        <w:rPr/>
        <w:t xml:space="preserve">The response we received from the ISO was particularly troubling. The ISO indicates that negotiations have been ongoing since January regarding how the obligations incurred by the ISO are settled, and whom is responsible for that settlement.  Because both Southern California Edison and Pacific Gas and Electric are not creditworthy, it is our understanding that CDWR/CERS is responsible for the full net-short position, including all costs associated with real-time energy and Ancillary Services purchased by the ISO.  The Federal Energy Regulatory Commission orders of February 14, 2001 and April 6, 2001 require that the ISO assure a creditworthy buyer to the market: </w:t>
      </w:r>
    </w:p>
    <w:p>
      <w:pPr>
        <w:pStyle w:val="BodyText"/>
        <w:jc w:val="start"/>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3">
                <wp:simplePos x="0" y="0"/>
                <wp:positionH relativeFrom="column">
                  <wp:posOffset>571500</wp:posOffset>
                </wp:positionH>
                <wp:positionV relativeFrom="paragraph">
                  <wp:posOffset>145415</wp:posOffset>
                </wp:positionV>
                <wp:extent cx="4114800" cy="1600200"/>
                <wp:effectExtent l="0" t="0" r="0" b="0"/>
                <wp:wrapNone/>
                <wp:docPr id="2" name="Frame1"/>
                <a:graphic xmlns:a="http://schemas.openxmlformats.org/drawingml/2006/main">
                  <a:graphicData uri="http://schemas.microsoft.com/office/word/2010/wordprocessingShape">
                    <wps:wsp>
                      <wps:cNvSpPr txBox="1"/>
                      <wps:spPr>
                        <a:xfrm>
                          <a:off x="0" y="0"/>
                          <a:ext cx="4114800" cy="1600200"/>
                        </a:xfrm>
                        <a:prstGeom prst="rect"/>
                        <a:solidFill>
                          <a:srgbClr val="FFFFFF">
                            <a:alpha val="0"/>
                          </a:srgbClr>
                        </a:solidFill>
                      </wps:spPr>
                      <wps:txbx>
                        <w:txbxContent>
                          <w:p>
                            <w:pPr>
                              <w:pStyle w:val="BodyText"/>
                              <w:autoSpaceDE w:val="true"/>
                              <w:rPr/>
                            </w:pPr>
                            <w:r>
                              <w:rPr/>
                              <w:t>We will grant the California Generators' motion. The ISO has misinterpreted our order.  Contrary to the ISO's interpretation, the February 14 Order did not exempt any transactions from the requirements to have in place a creditworthy buyer.  Instead our order provided third-party suppliers assurances of a creditworthy buyer for all energy delivered to the loads through the ISO. (95 FERC ¶61,024, Docket ER01-889-002, et al., slip op. at page 4. Footnote omitted.)</w:t>
                            </w:r>
                          </w:p>
                        </w:txbxContent>
                      </wps:txbx>
                      <wps:bodyPr anchor="t" lIns="92075" tIns="46355" rIns="92075" bIns="46355">
                        <a:noAutofit/>
                      </wps:bodyPr>
                    </wps:wsp>
                  </a:graphicData>
                </a:graphic>
              </wp:anchor>
            </w:drawing>
          </mc:Choice>
          <mc:Fallback>
            <w:pict>
              <v:rect fillcolor="#FFFFFF" style="position:absolute;rotation:-0;width:324pt;height:126pt;mso-wrap-distance-left:9.05pt;mso-wrap-distance-right:9.05pt;mso-wrap-distance-top:0pt;mso-wrap-distance-bottom:0pt;margin-top:11.45pt;mso-position-vertical-relative:text;margin-left:45pt;mso-position-horizontal-relative:text">
                <v:fill opacity="0f"/>
                <v:textbox inset="0.100694444444444in,0.0506944444444444in,0.100694444444444in,0.0506944444444444in">
                  <w:txbxContent>
                    <w:p>
                      <w:pPr>
                        <w:pStyle w:val="BodyText"/>
                        <w:autoSpaceDE w:val="true"/>
                        <w:rPr/>
                      </w:pPr>
                      <w:r>
                        <w:rPr/>
                        <w:t>We will grant the California Generators' motion. The ISO has misinterpreted our order.  Contrary to the ISO's interpretation, the February 14 Order did not exempt any transactions from the requirements to have in place a creditworthy buyer.  Instead our order provided third-party suppliers assurances of a creditworthy buyer for all energy delivered to the loads through the ISO. (95 FERC ¶61,024, Docket ER01-889-002, et al., slip op. at page 4. Footnote omitted.)</w:t>
                      </w:r>
                    </w:p>
                  </w:txbxContent>
                </v:textbox>
                <w10:wrap type="none"/>
              </v:rect>
            </w:pict>
          </mc:Fallback>
        </mc:AlternateContent>
      </w:r>
    </w:p>
    <w:p>
      <w:pPr>
        <w:pStyle w:val="BodyText"/>
        <w:jc w:val="start"/>
        <w:rPr>
          <w:rFonts w:ascii="Tahoma" w:hAnsi="Tahoma" w:cs="Tahoma"/>
        </w:rPr>
      </w:pPr>
      <w:r>
        <w:rPr>
          <w:rFonts w:cs="Tahoma" w:ascii="Tahoma" w:hAnsi="Tahoma"/>
        </w:rPr>
      </w:r>
    </w:p>
    <w:p>
      <w:pPr>
        <w:pStyle w:val="Normal"/>
        <w:autoSpaceDE w:val="false"/>
        <w:rPr>
          <w:rFonts w:ascii="Tahoma" w:hAnsi="Tahoma" w:cs="Tahoma"/>
        </w:rPr>
      </w:pPr>
      <w:r>
        <w:rPr>
          <w:rFonts w:cs="Tahoma" w:ascii="Tahoma" w:hAnsi="Tahoma"/>
        </w:rPr>
      </w:r>
    </w:p>
    <w:p>
      <w:pPr>
        <w:pStyle w:val="Normal"/>
        <w:autoSpaceDE w:val="false"/>
        <w:rPr>
          <w:rFonts w:ascii="Tahoma" w:hAnsi="Tahoma" w:cs="Tahoma"/>
        </w:rPr>
      </w:pPr>
      <w:r>
        <w:rPr>
          <w:rFonts w:cs="Tahoma" w:ascii="Tahoma" w:hAnsi="Tahoma"/>
        </w:rPr>
      </w:r>
    </w:p>
    <w:p>
      <w:pPr>
        <w:pStyle w:val="Normal"/>
        <w:autoSpaceDE w:val="false"/>
        <w:rPr/>
      </w:pPr>
      <w:r>
        <w:rPr/>
      </w:r>
    </w:p>
    <w:p>
      <w:pPr>
        <w:pStyle w:val="Normal"/>
        <w:autoSpaceDE w:val="false"/>
        <w:rPr/>
      </w:pPr>
      <w:r>
        <w:rPr/>
      </w:r>
    </w:p>
    <w:p>
      <w:pPr>
        <w:pStyle w:val="Normal"/>
        <w:autoSpaceDE w:val="false"/>
        <w:rPr/>
      </w:pPr>
      <w:r>
        <w:rPr/>
      </w:r>
    </w:p>
    <w:p>
      <w:pPr>
        <w:pStyle w:val="Normal"/>
        <w:autoSpaceDE w:val="false"/>
        <w:rPr/>
      </w:pPr>
      <w:r>
        <w:rPr/>
      </w:r>
    </w:p>
    <w:p>
      <w:pPr>
        <w:pStyle w:val="Normal"/>
        <w:autoSpaceDE w:val="false"/>
        <w:rPr/>
      </w:pPr>
      <w:r>
        <w:rPr/>
      </w:r>
    </w:p>
    <w:p>
      <w:pPr>
        <w:pStyle w:val="Normal"/>
        <w:autoSpaceDE w:val="false"/>
        <w:rPr>
          <w:sz w:val="16"/>
        </w:rPr>
      </w:pPr>
      <w:r>
        <w:rPr>
          <w:sz w:val="16"/>
        </w:rPr>
      </w:r>
    </w:p>
    <w:p>
      <w:pPr>
        <w:pStyle w:val="Normal"/>
        <w:autoSpaceDE w:val="false"/>
        <w:rPr/>
      </w:pPr>
      <w:r>
        <w:rPr/>
        <w:t xml:space="preserve">Since the utilities are not creditworthy buyers, and the ISO merely acts as a clearinghouse, it is crucial that CDWR/CERS follow the law and provide the financial backing required for purchases by the ISO.  In February, FERC was prompted to act because the lack of a creditworthy buyer was causing severe reliability problems for Californians. IEP is concerned that if obligations are not honored we could face these problems again. CDWR/CERS is required, like all other certified Scheduling Coordinators, to abide by the same requirements and are subject to the same penalties for non-compliance set forth in the ISO Tariff. </w:t>
      </w:r>
    </w:p>
    <w:p>
      <w:pPr>
        <w:pStyle w:val="Normal"/>
        <w:rPr/>
      </w:pPr>
      <w:r>
        <w:rPr/>
      </w:r>
    </w:p>
    <w:p>
      <w:pPr>
        <w:pStyle w:val="Normal"/>
        <w:rPr/>
      </w:pPr>
      <w:r>
        <w:rPr/>
      </w:r>
    </w:p>
    <w:p>
      <w:pPr>
        <w:pStyle w:val="Normal"/>
        <w:rPr/>
      </w:pPr>
      <w:r>
        <w:rPr/>
      </w:r>
    </w:p>
    <w:p>
      <w:pPr>
        <w:pStyle w:val="Normal"/>
        <w:rPr/>
      </w:pPr>
      <w:r>
        <w:rPr/>
      </w:r>
    </w:p>
    <w:p>
      <w:pPr>
        <w:pStyle w:val="Normal"/>
        <w:autoSpaceDE w:val="false"/>
        <w:rPr/>
      </w:pPr>
      <w:r>
        <w:rPr/>
        <w:t>Our members and other Market Participants have been providing power, in good faith, to Californians for months without being paid.  California ratepayers have been paying their bills, raising the question: Where’s the money? To date there is no explanation for non-payment. We respectfully request an explanation for how the money, already collected for power already delivered, will be dispersed to the suppliers and how the CDWR/CERS will honor purchases by the ISO going forward.</w:t>
      </w:r>
    </w:p>
    <w:p>
      <w:pPr>
        <w:pStyle w:val="Normal"/>
        <w:autoSpaceDE w:val="false"/>
        <w:rPr/>
      </w:pPr>
      <w:r>
        <w:rPr/>
      </w:r>
    </w:p>
    <w:p>
      <w:pPr>
        <w:pStyle w:val="Normal"/>
        <w:autoSpaceDE w:val="false"/>
        <w:rPr/>
      </w:pPr>
      <w:r>
        <w:rPr/>
        <w:t>I respectfully request a response from you by Monday August 27, 2001 as this is an extremely time sensitive matter. Please feel free to contact me at my office at (916) 448-9499.</w:t>
      </w:r>
    </w:p>
    <w:p>
      <w:pPr>
        <w:pStyle w:val="Normal"/>
        <w:autoSpaceDE w:val="false"/>
        <w:rPr/>
      </w:pPr>
      <w:r>
        <w:rPr/>
      </w:r>
    </w:p>
    <w:p>
      <w:pPr>
        <w:pStyle w:val="Normal"/>
        <w:autoSpaceDE w:val="false"/>
        <w:rPr/>
      </w:pPr>
      <w:r>
        <w:rPr/>
        <w:t>Sincerely,</w:t>
      </w:r>
    </w:p>
    <w:p>
      <w:pPr>
        <w:pStyle w:val="Normal"/>
        <w:autoSpaceDE w:val="false"/>
        <w:rPr/>
      </w:pPr>
      <w:r>
        <w:rPr/>
      </w:r>
    </w:p>
    <w:p>
      <w:pPr>
        <w:pStyle w:val="Normal"/>
        <w:autoSpaceDE w:val="false"/>
        <w:rPr/>
      </w:pPr>
      <w:r>
        <w:rPr/>
      </w:r>
    </w:p>
    <w:p>
      <w:pPr>
        <w:pStyle w:val="Normal"/>
        <w:autoSpaceDE w:val="false"/>
        <w:rPr/>
      </w:pPr>
      <w:r>
        <w:rPr/>
      </w:r>
    </w:p>
    <w:p>
      <w:pPr>
        <w:pStyle w:val="Normal"/>
        <w:autoSpaceDE w:val="false"/>
        <w:rPr/>
      </w:pPr>
      <w:r>
        <w:rPr/>
        <w:t>Jan Smutny-Jones</w:t>
      </w:r>
    </w:p>
    <w:p>
      <w:pPr>
        <w:pStyle w:val="Normal"/>
        <w:autoSpaceDE w:val="false"/>
        <w:rPr/>
      </w:pPr>
      <w:r>
        <w:rPr/>
        <w:t>Executive Director</w:t>
      </w:r>
    </w:p>
    <w:p>
      <w:pPr>
        <w:pStyle w:val="Normal"/>
        <w:rPr/>
      </w:pPr>
      <w:r>
        <w:rPr/>
      </w:r>
    </w:p>
    <w:p>
      <w:pPr>
        <w:pStyle w:val="Normal"/>
        <w:rPr/>
      </w:pPr>
      <w:r>
        <w:rPr/>
      </w:r>
    </w:p>
    <w:p>
      <w:pPr>
        <w:pStyle w:val="Normal"/>
        <w:autoSpaceDE w:val="false"/>
        <w:rPr/>
      </w:pPr>
      <w:r>
        <w:rPr/>
        <w:t>Enclosures</w:t>
      </w:r>
    </w:p>
    <w:p>
      <w:pPr>
        <w:pStyle w:val="Normal"/>
        <w:autoSpaceDE w:val="false"/>
        <w:rPr/>
      </w:pPr>
      <w:r>
        <w:rPr/>
      </w:r>
    </w:p>
    <w:p>
      <w:pPr>
        <w:pStyle w:val="Normal"/>
        <w:autoSpaceDE w:val="false"/>
        <w:rPr/>
      </w:pPr>
      <w:r>
        <w:rPr/>
      </w:r>
    </w:p>
    <w:p>
      <w:pPr>
        <w:pStyle w:val="Normal"/>
        <w:autoSpaceDE w:val="false"/>
        <w:rPr/>
      </w:pPr>
      <w:r>
        <w:rPr/>
        <w:t>Cc:</w:t>
        <w:tab/>
        <w:t>Terry Winter, President and CEO, California ISO</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BodyTextIndent">
    <w:name w:val="Body Text Indent"/>
    <w:basedOn w:val="Normal"/>
    <w:pPr>
      <w:autoSpaceDE w:val="false"/>
      <w:ind w:hanging="0" w:start="72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2001-08-23T16:28:00Z</dcterms:created>
  <dc:creator>Katie Kaplan</dc:creator>
  <dc:description/>
  <dc:language>en-CA</dc:language>
  <cp:lastModifiedBy>Katie Kaplan</cp:lastModifiedBy>
  <cp:lastPrinted>2001-08-23T11:58:00Z</cp:lastPrinted>
  <dcterms:modified xsi:type="dcterms:W3CDTF">2001-08-23T16:28:00Z</dcterms:modified>
  <cp:revision>2</cp:revision>
  <dc:subject/>
  <dc:title>August 22, 2001</dc:title>
</cp:coreProperties>
</file>