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From"/>
              <w:snapToGrid w:val="false"/>
              <w:rPr/>
            </w:pPr>
            <w:r>
              <w:rPr/>
            </w:r>
          </w:p>
        </w:tc>
        <w:tc>
          <w:tcPr>
            <w:tcW w:w="6045" w:type="dxa"/>
            <w:tcBorders/>
          </w:tcPr>
          <w:p>
            <w:pPr>
              <w:pStyle w:val="From"/>
              <w:rPr/>
            </w:pPr>
            <w:r>
              <w:rPr/>
              <w:t>Christian Yoder</w:t>
            </w:r>
          </w:p>
        </w:tc>
        <w:tc>
          <w:tcPr>
            <w:tcW w:w="990" w:type="dxa"/>
            <w:tcBorders/>
          </w:tcPr>
          <w:p>
            <w:pPr>
              <w:pStyle w:val="From"/>
              <w:snapToGrid w:val="false"/>
              <w:rPr/>
            </w:pPr>
            <w:r>
              <w:rPr/>
            </w:r>
          </w:p>
        </w:tc>
        <w:tc>
          <w:tcPr>
            <w:tcW w:w="2965" w:type="dxa"/>
            <w:tcBorders/>
          </w:tcPr>
          <w:p>
            <w:pPr>
              <w:pStyle w:val="From"/>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Proposed Transaction with the California Department of Water Resources ("CDWR")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pPr>
      <w:r>
        <w:rPr/>
        <w:t xml:space="preserve">NOTE:  </w:t>
      </w:r>
      <w:r>
        <w:rPr>
          <w:i/>
        </w:rPr>
        <w:t>Transaction still being negotiated; accordingly, there may be additional changes.</w:t>
      </w:r>
    </w:p>
    <w:p>
      <w:pPr>
        <w:pStyle w:val="Body"/>
        <w:jc w:val="both"/>
        <w:rPr>
          <w:i/>
          <w:i/>
        </w:rPr>
      </w:pPr>
      <w:r>
        <w:rPr>
          <w:i/>
        </w:rPr>
      </w:r>
    </w:p>
    <w:p>
      <w:pPr>
        <w:pStyle w:val="Body"/>
        <w:spacing w:before="120" w:after="0"/>
        <w:ind w:start="0" w:end="720"/>
        <w:jc w:val="both"/>
        <w:rPr>
          <w:b/>
        </w:rPr>
      </w:pPr>
      <w:r>
        <w:rPr>
          <w:b/>
        </w:rPr>
        <w:t>Risk Level:</w:t>
        <w:tab/>
        <w:t>5</w:t>
      </w:r>
    </w:p>
    <w:p>
      <w:pPr>
        <w:pStyle w:val="Body"/>
        <w:numPr>
          <w:ilvl w:val="0"/>
          <w:numId w:val="2"/>
        </w:numPr>
        <w:spacing w:before="120" w:after="0"/>
        <w:ind w:hanging="720" w:start="720" w:end="720"/>
        <w:jc w:val="both"/>
        <w:rPr>
          <w:smallCaps/>
          <w:u w:val="single"/>
        </w:rPr>
      </w:pPr>
      <w:r>
        <w:rPr>
          <w:smallCaps/>
          <w:u w:val="single"/>
        </w:rPr>
        <w:t>Transaction</w:t>
      </w:r>
      <w:r>
        <w:rPr>
          <w:smallCaps/>
        </w:rPr>
        <w:t xml:space="preserve">.  </w:t>
      </w:r>
      <w:r>
        <w:rPr/>
        <w:t xml:space="preserve">EPMI has entered into a one-month, EEI-governed transaction ("Transaction") with CDWR pursuant to which EPMI is obligated to deliver 200 MW per hour during peak hours to CDWR until March 31, 2001 at a price of $265/MWh.  EPMI has an option that must be exercised on or before March 28, 2001, to extend the delivery term for a period of 5 years.  If EPMI exercises its option, the price for all power delivered shall be $127/MWh, </w:t>
      </w:r>
      <w:r>
        <w:rPr>
          <w:u w:val="single"/>
        </w:rPr>
        <w:t>i.e.</w:t>
      </w:r>
      <w:r>
        <w:rPr/>
        <w:t>, CDWR shall be entitled to a credit equal to $138 (</w:t>
      </w:r>
      <w:r>
        <w:rPr>
          <w:u w:val="single"/>
        </w:rPr>
        <w:t>i.e.</w:t>
      </w:r>
      <w:r>
        <w:rPr/>
        <w:t xml:space="preserve">, $265-$127) times the number of MWhs delivered from February 24, 2001 through March 31, 2000.  (The effect of the credit is to make the price $127/MWh for the entire term).  If EPMI exercises its option on the long-term deal, it will have a "Special Termination Right" pursuant to which EPMI may terminate the Transaction at any time, without payment or receipt of a termination payment, on or before the </w:t>
      </w:r>
      <w:r>
        <w:rPr>
          <w:u w:val="single"/>
        </w:rPr>
        <w:t>first</w:t>
      </w:r>
      <w:r>
        <w:rPr/>
        <w:t xml:space="preserve"> to occur of (1) the issuance of Bonds by CDWR (or the rating of CDWR's Fund) (projected to be around June), or (2) September 30, 2001.  EPMI currently is negotiating with CDWR to improve the underlying EEI contract governing the Transaction.</w:t>
      </w:r>
    </w:p>
    <w:p>
      <w:pPr>
        <w:pStyle w:val="Body"/>
        <w:numPr>
          <w:ilvl w:val="0"/>
          <w:numId w:val="2"/>
        </w:numPr>
        <w:spacing w:before="120" w:after="0"/>
        <w:ind w:hanging="720" w:start="720" w:end="720"/>
        <w:jc w:val="both"/>
        <w:rPr>
          <w:smallCaps/>
        </w:rPr>
      </w:pPr>
      <w:r>
        <w:rPr>
          <w:smallCaps/>
          <w:u w:val="single"/>
        </w:rPr>
        <w:t>Governing EEI Contract</w:t>
      </w:r>
      <w:r>
        <w:rPr>
          <w:smallCaps/>
        </w:rPr>
        <w:t xml:space="preserve">.  </w:t>
      </w:r>
      <w:r>
        <w:rPr/>
        <w:t>The following is a summary of the significant issues in the EEI contract proposed by CDWR:</w:t>
      </w:r>
    </w:p>
    <w:p>
      <w:pPr>
        <w:pStyle w:val="Body"/>
        <w:numPr>
          <w:ilvl w:val="1"/>
          <w:numId w:val="2"/>
        </w:numPr>
        <w:spacing w:before="120" w:after="0"/>
        <w:ind w:hanging="720" w:start="1440" w:end="720"/>
        <w:jc w:val="both"/>
        <w:rPr/>
      </w:pPr>
      <w:r>
        <w:rPr>
          <w:u w:val="single"/>
        </w:rPr>
        <w:t>Termination</w:t>
      </w:r>
      <w:r>
        <w:rPr/>
        <w:t>.  One way payments for any Event of Default; termination payment not required by defaulting party for 180 days; termination payment based on per unit energy prices (with preset discount rate based on treasuries plus 50 points) secured from not less than 3 brokers.</w:t>
      </w:r>
    </w:p>
    <w:p>
      <w:pPr>
        <w:pStyle w:val="Body"/>
        <w:numPr>
          <w:ilvl w:val="1"/>
          <w:numId w:val="2"/>
        </w:numPr>
        <w:spacing w:before="120" w:after="0"/>
        <w:ind w:hanging="720" w:start="1440" w:end="720"/>
        <w:jc w:val="both"/>
        <w:rPr/>
      </w:pPr>
      <w:r>
        <w:rPr>
          <w:u w:val="single"/>
        </w:rPr>
        <w:t>Credit Terms</w:t>
      </w:r>
      <w:r>
        <w:rPr/>
        <w:t xml:space="preserve">.  </w:t>
      </w:r>
    </w:p>
    <w:p>
      <w:pPr>
        <w:pStyle w:val="Body"/>
        <w:numPr>
          <w:ilvl w:val="2"/>
          <w:numId w:val="2"/>
        </w:numPr>
        <w:spacing w:before="120" w:after="0"/>
        <w:ind w:hanging="720" w:start="2160" w:end="720"/>
        <w:jc w:val="both"/>
        <w:rPr/>
      </w:pPr>
      <w:r>
        <w:rPr/>
        <w:t>No posting of collateral or other adequate assurances; no setoff rights; limited financial information.</w:t>
      </w:r>
    </w:p>
    <w:p>
      <w:pPr>
        <w:pStyle w:val="Body"/>
        <w:numPr>
          <w:ilvl w:val="2"/>
          <w:numId w:val="2"/>
        </w:numPr>
        <w:spacing w:before="120" w:after="0"/>
        <w:ind w:hanging="720" w:start="2160" w:end="720"/>
        <w:jc w:val="both"/>
        <w:rPr/>
      </w:pPr>
      <w:r>
        <w:rPr/>
        <w:t xml:space="preserve">Downgrade Event for CDWR if Bonds/Fund are rated below BBB-/Baa3 by </w:t>
      </w:r>
      <w:r>
        <w:rPr>
          <w:u w:val="single"/>
        </w:rPr>
        <w:t>both</w:t>
      </w:r>
      <w:r>
        <w:rPr/>
        <w:t xml:space="preserve"> S&amp;P and Moody's.  If Downgrade Event occurs, EPMI has the right to terminate the Transaction but with </w:t>
      </w:r>
      <w:r>
        <w:rPr>
          <w:u w:val="single"/>
        </w:rPr>
        <w:t>no</w:t>
      </w:r>
      <w:r>
        <w:rPr/>
        <w:t xml:space="preserve"> termination payment upon not less than 30 days' notice of termination to CDWR; provided, however, that CDWR shall be obligated to pay for power deliveries after Downgrade Event on a 7-day cycle.</w:t>
      </w:r>
    </w:p>
    <w:p>
      <w:pPr>
        <w:pStyle w:val="Body"/>
        <w:numPr>
          <w:ilvl w:val="2"/>
          <w:numId w:val="2"/>
        </w:numPr>
        <w:spacing w:before="120" w:after="0"/>
        <w:ind w:hanging="720" w:start="2160" w:end="720"/>
        <w:jc w:val="both"/>
        <w:rPr/>
      </w:pPr>
      <w:r>
        <w:rPr/>
        <w:t>CDWR covenants that it will establish revenue requirements sufficient to satisfy obligations to pay power suppliers/Bonds; such covenant includes ordering the CPUC to raise rates to the extent necessary.</w:t>
      </w:r>
    </w:p>
    <w:p>
      <w:pPr>
        <w:pStyle w:val="Body"/>
        <w:numPr>
          <w:ilvl w:val="2"/>
          <w:numId w:val="2"/>
        </w:numPr>
        <w:spacing w:before="120" w:after="0"/>
        <w:ind w:hanging="720" w:start="2160" w:end="720"/>
        <w:jc w:val="both"/>
        <w:rPr/>
      </w:pPr>
      <w:r>
        <w:rPr/>
        <w:t>CDWR represents that the $127 price is "just and reasonable" and acknowledges that EPMI likely will not reap the benefits of the Transaction until the later years of the Delivery Term.</w:t>
      </w:r>
    </w:p>
    <w:p>
      <w:pPr>
        <w:pStyle w:val="Body"/>
        <w:numPr>
          <w:ilvl w:val="1"/>
          <w:numId w:val="2"/>
        </w:numPr>
        <w:spacing w:before="120" w:after="0"/>
        <w:ind w:hanging="720" w:start="1440" w:end="720"/>
        <w:jc w:val="both"/>
        <w:rPr/>
      </w:pPr>
      <w:r>
        <w:rPr>
          <w:u w:val="single"/>
        </w:rPr>
        <w:t>Material Regulatory Change</w:t>
      </w:r>
      <w:r>
        <w:rPr/>
        <w:t>.</w:t>
      </w:r>
    </w:p>
    <w:p>
      <w:pPr>
        <w:pStyle w:val="Body"/>
        <w:numPr>
          <w:ilvl w:val="2"/>
          <w:numId w:val="2"/>
        </w:numPr>
        <w:spacing w:before="120" w:after="0"/>
        <w:ind w:hanging="720" w:start="2160" w:end="720"/>
        <w:jc w:val="both"/>
        <w:rPr/>
      </w:pPr>
      <w:r>
        <w:rPr/>
        <w:t>If California law or regulation changes as the result of action by the State legislature in a manner such that CDWR's payments under the Transaction are impaired, then EPMI can terminate with entitlement to a termination payment.  Risk of change in Federal law adversely affecting EPMI is borne by EPMI.</w:t>
      </w:r>
    </w:p>
    <w:p>
      <w:pPr>
        <w:pStyle w:val="Body"/>
        <w:numPr>
          <w:ilvl w:val="2"/>
          <w:numId w:val="2"/>
        </w:numPr>
        <w:spacing w:before="120" w:after="0"/>
        <w:ind w:hanging="720" w:start="2160" w:end="720"/>
        <w:jc w:val="both"/>
        <w:rPr/>
      </w:pPr>
      <w:r>
        <w:rPr/>
        <w:t>If California imposes a new tax or other "imposition" that is directed at the sale of power (</w:t>
      </w:r>
      <w:r>
        <w:rPr>
          <w:u w:val="single"/>
        </w:rPr>
        <w:t>e.g.</w:t>
      </w:r>
      <w:r>
        <w:rPr/>
        <w:t>, an "excess profits tax") or other energy goods, then CDWR shall be responsible for and/or is required to reimburse EPMI for such amounts.</w:t>
      </w:r>
    </w:p>
    <w:p>
      <w:pPr>
        <w:pStyle w:val="Body"/>
        <w:numPr>
          <w:ilvl w:val="1"/>
          <w:numId w:val="2"/>
        </w:numPr>
        <w:spacing w:before="120" w:after="0"/>
        <w:ind w:hanging="720" w:start="1440" w:end="720"/>
        <w:jc w:val="both"/>
        <w:rPr/>
      </w:pPr>
      <w:r>
        <w:rPr>
          <w:u w:val="single"/>
        </w:rPr>
        <w:t>Disputes</w:t>
      </w:r>
      <w:r>
        <w:rPr/>
        <w:t>.  All contract disputes subject to arbitration before a three arbitrator panel (each party selects an arbitrator and the third neutral arbitrator is selected by the two arbitrators) applying the Complex Commercial Arbitration Rules.  Arbitration situs will be in California at a location selected by EPMI.</w:t>
      </w:r>
    </w:p>
    <w:p>
      <w:pPr>
        <w:pStyle w:val="Body"/>
        <w:numPr>
          <w:ilvl w:val="1"/>
          <w:numId w:val="2"/>
        </w:numPr>
        <w:spacing w:before="120" w:after="0"/>
        <w:ind w:hanging="720" w:start="1440" w:end="720"/>
        <w:jc w:val="both"/>
        <w:rPr/>
      </w:pPr>
      <w:r>
        <w:rPr>
          <w:u w:val="single"/>
        </w:rPr>
        <w:t>Other</w:t>
      </w:r>
      <w:r>
        <w:rPr/>
        <w:t xml:space="preserve">.  </w:t>
      </w:r>
    </w:p>
    <w:p>
      <w:pPr>
        <w:pStyle w:val="Body"/>
        <w:numPr>
          <w:ilvl w:val="2"/>
          <w:numId w:val="2"/>
        </w:numPr>
        <w:spacing w:before="120" w:after="0"/>
        <w:ind w:hanging="720" w:start="2160" w:end="720"/>
        <w:jc w:val="both"/>
        <w:rPr/>
      </w:pPr>
      <w:r>
        <w:rPr/>
        <w:t>CDWR represents and warrants that payments required on the Transaction will have priority over P&amp;I on the Bonds (as a result of such payments being operating expenses).</w:t>
      </w:r>
    </w:p>
    <w:p>
      <w:pPr>
        <w:pStyle w:val="Body"/>
        <w:numPr>
          <w:ilvl w:val="2"/>
          <w:numId w:val="2"/>
        </w:numPr>
        <w:spacing w:before="120" w:after="0"/>
        <w:ind w:hanging="720" w:start="2160" w:end="720"/>
        <w:jc w:val="both"/>
        <w:rPr/>
      </w:pPr>
      <w:r>
        <w:rPr/>
        <w:t>CDWR covenants that the rights of the CDWR/CPUC shall not be diminished/impaired in a manner that will adversely affect EPMI.</w:t>
      </w:r>
    </w:p>
    <w:p>
      <w:pPr>
        <w:pStyle w:val="Body"/>
        <w:numPr>
          <w:ilvl w:val="2"/>
          <w:numId w:val="2"/>
        </w:numPr>
        <w:spacing w:before="120" w:after="0"/>
        <w:ind w:hanging="720" w:start="2160" w:end="720"/>
        <w:jc w:val="both"/>
        <w:rPr/>
      </w:pPr>
      <w:r>
        <w:rPr/>
        <w:t>CDWR refused to specifically include a provision limiting its ability to discriminate against EPMI with respect to the performance/administration of the Agreement.</w:t>
      </w:r>
    </w:p>
    <w:p>
      <w:pPr>
        <w:pStyle w:val="Body"/>
        <w:numPr>
          <w:ilvl w:val="0"/>
          <w:numId w:val="2"/>
        </w:numPr>
        <w:spacing w:before="120" w:after="0"/>
        <w:ind w:hanging="720" w:start="720" w:end="720"/>
        <w:jc w:val="both"/>
        <w:rPr>
          <w:smallCaps/>
        </w:rPr>
      </w:pPr>
      <w:r>
        <w:rPr>
          <w:smallCaps/>
          <w:u w:val="single"/>
        </w:rPr>
        <w:t>Risks – Inability to compel performance and resulting likelihood of litigation</w:t>
      </w:r>
      <w:r>
        <w:rPr>
          <w:smallCaps/>
        </w:rPr>
        <w:t xml:space="preserve">.  </w:t>
      </w:r>
      <w:r>
        <w:rPr/>
        <w:t>The EEI contract governing the contract provides numerous termination events that likely would give EPMI the ability to terminate the Transaction if CDWR's ability to perform were substantially impaired.  Such termination, however, would not necessarily provide EPMI the economic benefit of its bargain, either because (1) the termination right is expressly without payment of the termination payment (e.g., Bonds don't get issued during summer or Bonds are downgraded) or (2) the CDWR is not a creditworthy entity capable of making the payment or (3) the political climate remains so charged and accusations of unjust enrichment and profiteering require CDWR to determine a way out of the contract without payment of damages. The substantial risks to EPMI are in the short-term (will CDWR survive) and the back-end of the contract.  The short-term risk is mitigated by a walk right, without payment of damages, through the summer or until the Bonds are issued.  The back-end risk will be acute if power prices at the time are substantially below $127.  The following is a summary of events that could substantially limit/impact EPMI's ability to compel CDWR's performance and/or result in litigation, the outcome of which would be unclear.</w:t>
      </w:r>
    </w:p>
    <w:p>
      <w:pPr>
        <w:pStyle w:val="Body"/>
        <w:numPr>
          <w:ilvl w:val="1"/>
          <w:numId w:val="2"/>
        </w:numPr>
        <w:spacing w:before="120" w:after="0"/>
        <w:ind w:hanging="720" w:start="1440" w:end="720"/>
        <w:jc w:val="both"/>
        <w:rPr/>
      </w:pPr>
      <w:r>
        <w:rPr>
          <w:u w:val="single"/>
        </w:rPr>
        <w:t>Instability in California Energy Market</w:t>
      </w:r>
      <w:r>
        <w:rPr/>
        <w:t>.  The energy crisis in California is in constant flux.  CDWR is expected to pay for power supplies through (i) the California Procurement Adjustment ("CPA") which effectively is the "headroom" left over in the rates after the IOUs' cost of generation, (ii) the proceeds of Bonds (to be issued in a size estimated to be in the range of $16 billion), and (iii) increases in customer rates to the extent necessary.  Significant recent events in California, including those potentially impairing CDWR's ability to perform under the Transaction, include:</w:t>
      </w:r>
    </w:p>
    <w:p>
      <w:pPr>
        <w:pStyle w:val="Body"/>
        <w:numPr>
          <w:ilvl w:val="2"/>
          <w:numId w:val="2"/>
        </w:numPr>
        <w:spacing w:before="120" w:after="0"/>
        <w:ind w:hanging="720" w:start="2160" w:end="720"/>
        <w:jc w:val="both"/>
        <w:rPr/>
      </w:pPr>
      <w:r>
        <w:rPr/>
        <w:t>The amount of CPA "headroom" is entirely unclear and the utilities/CDWR are at odds on how to allocate.</w:t>
      </w:r>
    </w:p>
    <w:p>
      <w:pPr>
        <w:pStyle w:val="Body"/>
        <w:numPr>
          <w:ilvl w:val="2"/>
          <w:numId w:val="2"/>
        </w:numPr>
        <w:spacing w:before="120" w:after="0"/>
        <w:ind w:hanging="720" w:start="2160" w:end="720"/>
        <w:jc w:val="both"/>
        <w:rPr/>
      </w:pPr>
      <w:r>
        <w:rPr/>
        <w:t>The CPA headroom is the security for the Bonds.  It is uncertain if the Bonds will be able to be issued.  Failure to issue the Bonds increases pressure on the State of California and indicates a lack of endorsement of California's plan for managing the energy crisis.  Also, without Bondholders, it would be easier, politically, for CDWR to default to the power suppliers (</w:t>
      </w:r>
      <w:r>
        <w:rPr>
          <w:u w:val="single"/>
        </w:rPr>
        <w:t>i.e.</w:t>
      </w:r>
      <w:r>
        <w:rPr/>
        <w:t>, less capital markets fall-out).</w:t>
      </w:r>
    </w:p>
    <w:p>
      <w:pPr>
        <w:pStyle w:val="Body"/>
        <w:numPr>
          <w:ilvl w:val="2"/>
          <w:numId w:val="2"/>
        </w:numPr>
        <w:spacing w:before="120" w:after="0"/>
        <w:ind w:hanging="720" w:start="2160" w:end="720"/>
        <w:jc w:val="both"/>
        <w:rPr/>
      </w:pPr>
      <w:r>
        <w:rPr/>
        <w:t>Certain California legislators are threatening to cut off the funding of CDWR because of the delay in implementing overall plan to deal with the crisis.  The State's own credit rating is under close watch because power related spending has drastically depleted its surplus.</w:t>
      </w:r>
    </w:p>
    <w:p>
      <w:pPr>
        <w:pStyle w:val="Body"/>
        <w:numPr>
          <w:ilvl w:val="2"/>
          <w:numId w:val="2"/>
        </w:numPr>
        <w:spacing w:before="120" w:after="0"/>
        <w:ind w:hanging="720" w:start="2160" w:end="720"/>
        <w:jc w:val="both"/>
        <w:rPr/>
      </w:pPr>
      <w:r>
        <w:rPr/>
        <w:t>CPUC recently raised rates as much as 47% but the political fallout from such action is still to be determined.  [Issue of voter initiative risk allocation still ongoing].</w:t>
      </w:r>
    </w:p>
    <w:p>
      <w:pPr>
        <w:pStyle w:val="Body"/>
        <w:numPr>
          <w:ilvl w:val="2"/>
          <w:numId w:val="2"/>
        </w:numPr>
        <w:spacing w:before="120" w:after="0"/>
        <w:ind w:hanging="720" w:start="2160" w:end="720"/>
        <w:jc w:val="both"/>
        <w:rPr/>
      </w:pPr>
      <w:r>
        <w:rPr/>
        <w:t>Future financial posture of SCE/PG&amp;E remains very unclear.</w:t>
      </w:r>
    </w:p>
    <w:p>
      <w:pPr>
        <w:pStyle w:val="Body"/>
        <w:numPr>
          <w:ilvl w:val="2"/>
          <w:numId w:val="2"/>
        </w:numPr>
        <w:spacing w:before="120" w:after="0"/>
        <w:ind w:hanging="720" w:start="2160" w:end="720"/>
        <w:jc w:val="both"/>
        <w:rPr/>
      </w:pPr>
      <w:r>
        <w:rPr/>
        <w:t>Severe shortages of power are expected this summer with several recent blackouts already occurring.</w:t>
      </w:r>
    </w:p>
    <w:p>
      <w:pPr>
        <w:pStyle w:val="Body"/>
        <w:numPr>
          <w:ilvl w:val="1"/>
          <w:numId w:val="2"/>
        </w:numPr>
        <w:spacing w:before="120" w:after="0"/>
        <w:ind w:hanging="720" w:start="1440" w:end="720"/>
        <w:jc w:val="both"/>
        <w:rPr/>
      </w:pPr>
      <w:r>
        <w:rPr>
          <w:u w:val="single"/>
        </w:rPr>
        <w:t>Creditworthiness of the CDWR</w:t>
      </w:r>
      <w:r>
        <w:rPr/>
        <w:t>.  The creditworthiness of CDWR is unclear.  While the CDWR Revenue Order (CPUC Decision D.01-03-009) gives the CDWR the right to order the CPUC to raise rates to recover its cost of power, CDWR's sources of other funds may be non-existent and it is unclear what will happen if significant rate increases are necessary to supply funds for the CDWR to purchase power.  If Bonds are issued, payments on the Transaction will have priority because they are operating expenses.</w:t>
      </w:r>
    </w:p>
    <w:p>
      <w:pPr>
        <w:pStyle w:val="Body"/>
        <w:spacing w:before="120" w:after="0"/>
        <w:ind w:start="1440" w:end="720"/>
        <w:jc w:val="both"/>
        <w:rPr/>
      </w:pPr>
      <w:r>
        <w:rPr/>
        <w:t>If CDWR does not order the CPUC to raise rates, it would be an Event of Default, giving EPMI the right to terminate and seek a termination payment.  If rates are not raised, however, CDWR would have no funds to pay the termination payment, which in any event is not payable for 180 days.  EPMI could seek specific performance by the CDWR (i.e., getting a court to order the CDWR to order the CPUC to raise rates); but again, the political reality of such actions is unclear.  Under the current draft, disputes are subject to arbitration in California.</w:t>
      </w:r>
    </w:p>
    <w:p>
      <w:pPr>
        <w:pStyle w:val="Body"/>
        <w:numPr>
          <w:ilvl w:val="1"/>
          <w:numId w:val="2"/>
        </w:numPr>
        <w:spacing w:before="120" w:after="0"/>
        <w:ind w:hanging="720" w:start="1440" w:end="720"/>
        <w:jc w:val="both"/>
        <w:rPr/>
      </w:pPr>
      <w:r>
        <w:rPr>
          <w:u w:val="single"/>
        </w:rPr>
        <w:t>Federal Changes</w:t>
      </w:r>
      <w:r>
        <w:rPr/>
        <w:t>.  Changes in federal law are not allocated; accordingly, if FERC were to impose a price cap, EPMI would not be able to terminate the Transaction.</w:t>
      </w:r>
    </w:p>
    <w:p>
      <w:pPr>
        <w:pStyle w:val="Body"/>
        <w:numPr>
          <w:ilvl w:val="0"/>
          <w:numId w:val="2"/>
        </w:numPr>
        <w:spacing w:before="120" w:after="0"/>
        <w:ind w:hanging="720" w:start="720" w:end="720"/>
        <w:jc w:val="both"/>
        <w:rPr>
          <w:smallCaps/>
        </w:rPr>
      </w:pPr>
      <w:r>
        <w:rPr>
          <w:smallCaps/>
          <w:u w:val="single"/>
        </w:rPr>
        <w:t>Risk Mitigants</w:t>
      </w:r>
      <w:r>
        <w:rPr>
          <w:smallCaps/>
        </w:rPr>
        <w:t xml:space="preserve">.  </w:t>
      </w:r>
    </w:p>
    <w:p>
      <w:pPr>
        <w:pStyle w:val="Body"/>
        <w:tabs>
          <w:tab w:val="left" w:pos="3090" w:leader="none"/>
        </w:tabs>
        <w:spacing w:before="120" w:after="0"/>
        <w:ind w:hanging="720" w:start="1440" w:end="720"/>
        <w:jc w:val="both"/>
        <w:rPr/>
      </w:pPr>
      <w:r>
        <w:rPr/>
        <w:t>1.</w:t>
        <w:tab/>
      </w:r>
      <w:r>
        <w:rPr>
          <w:u w:val="single"/>
        </w:rPr>
        <w:t>Special Early Termination Right</w:t>
      </w:r>
      <w:r>
        <w:rPr/>
        <w:t xml:space="preserve">.  EPMI can terminate the Transaction at any time up to the issuance of the Bonds by CDWR (or the Fund is rated) or, if later, September 30, 2001.  While EPMI would not receive (or be required to pay) a termination payment, it does permit EPMI to assess the entire California situation this summer before "locking in." </w:t>
      </w:r>
    </w:p>
    <w:p>
      <w:pPr>
        <w:pStyle w:val="Body"/>
        <w:tabs>
          <w:tab w:val="left" w:pos="1530" w:leader="none"/>
          <w:tab w:val="left" w:pos="3090" w:leader="none"/>
        </w:tabs>
        <w:spacing w:before="120" w:after="0"/>
        <w:ind w:hanging="720" w:start="1440" w:end="720"/>
        <w:jc w:val="both"/>
        <w:rPr/>
      </w:pPr>
      <w:r>
        <w:rPr/>
        <w:t>2.</w:t>
        <w:tab/>
      </w:r>
      <w:r>
        <w:rPr>
          <w:u w:val="single"/>
        </w:rPr>
        <w:t>Extended Suspension Right</w:t>
      </w:r>
      <w:r>
        <w:rPr/>
        <w:t>.  If CDWR defaults, EPMI may suspend deliveries for up to 40 business days before electing whether or not to terminate.  This provides some flexibility to assess the situation for a while without delivering energy upon a default by CDWR.</w:t>
      </w:r>
    </w:p>
    <w:p>
      <w:pPr>
        <w:pStyle w:val="Body"/>
        <w:tabs>
          <w:tab w:val="left" w:pos="1530" w:leader="none"/>
          <w:tab w:val="left" w:pos="3090" w:leader="none"/>
        </w:tabs>
        <w:spacing w:before="120" w:after="0"/>
        <w:ind w:hanging="720" w:start="1440" w:end="720"/>
        <w:jc w:val="both"/>
        <w:rPr/>
      </w:pPr>
      <w:r>
        <w:rPr/>
        <w:t>3.</w:t>
        <w:tab/>
      </w:r>
      <w:r>
        <w:rPr>
          <w:u w:val="single"/>
        </w:rPr>
        <w:t>CDWR Downgrade Event</w:t>
      </w:r>
      <w:r>
        <w:rPr/>
        <w:t>.  A downgrade of CDWR's Bonds is not an Event of Default entitling EPMI to a termination payment; however, EPMI has flexibility to assess the situation and right to terminate without a termination payment.  A downgrade also triggers a 7-day payment cycle.</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rStyle w:val="PageNumbe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/mnt/main-storage/datasets/enron-docs/doc/CDWR_JK-997fbe035bbcc526ca73baf605b85cbf39f00567a7ff72f2918da697f65f5a8a.doc</w:t>
    </w:r>
    <w:r>
      <w:rPr>
        <w:sz w:val="16"/>
        <w:b/>
      </w:rPr>
      <w:fldChar w:fldCharType="end"/>
    </w:r>
  </w:p>
  <w:p>
    <w:pPr>
      <w:pStyle w:val="Footer"/>
      <w:tabs>
        <w:tab w:val="clear" w:pos="4320"/>
        <w:tab w:val="left" w:pos="3780" w:leader="none"/>
        <w:tab w:val="center" w:pos="7560" w:leader="none"/>
        <w:tab w:val="right" w:pos="8640" w:leader="none"/>
      </w:tabs>
      <w:spacing w:before="240" w:after="0"/>
      <w:jc w:val="center"/>
      <w:rPr/>
    </w:pPr>
    <w:r>
      <w:rPr>
        <w:rStyle w:val="PageNumber"/>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jc w:val="center"/>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/mnt/main-storage/datasets/enron-docs/doc/CDWR_JK-997fbe035bbcc526ca73baf605b85cbf39f00567a7ff72f2918da697f65f5a8a.doc</w:t>
    </w:r>
    <w:r>
      <w:rPr>
        <w:sz w:val="16"/>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tab/>
    </w:r>
    <w:r>
      <w:rPr>
        <w:b/>
        <w:smallCaps/>
        <w:sz w:val="20"/>
      </w:rPr>
      <w:t>Attorney Client Work Product;</w:t>
    </w:r>
  </w:p>
  <w:p>
    <w:pPr>
      <w:pStyle w:val="Header"/>
      <w:tabs>
        <w:tab w:val="clear" w:pos="4320"/>
        <w:tab w:val="clear" w:pos="8640"/>
        <w:tab w:val="right" w:pos="9360" w:leader="none"/>
      </w:tabs>
      <w:rPr>
        <w:smallCaps/>
        <w:sz w:val="20"/>
      </w:rPr>
    </w:pPr>
    <w:r>
      <w:rPr>
        <w:sz w:val="20"/>
      </w:rPr>
      <w:tab/>
    </w:r>
    <w:r>
      <w:rPr>
        <w:b/>
        <w:smallCaps/>
        <w:sz w:val="20"/>
      </w:rPr>
      <w:t>Not Discoverable</w:t>
    </w:r>
  </w:p>
  <w:p>
    <w:pPr>
      <w:pStyle w:val="Header"/>
      <w:tabs>
        <w:tab w:val="clear" w:pos="4320"/>
        <w:tab w:val="clear" w:pos="8640"/>
        <w:tab w:val="right" w:pos="9360" w:leader="none"/>
      </w:tabs>
      <w:spacing w:before="0" w:after="240"/>
      <w:rPr>
        <w:smallCaps/>
        <w:sz w:val="20"/>
      </w:rPr>
    </w:pPr>
    <w:r>
      <w:rPr>
        <w:smallCaps/>
        <w:sz w:val="20"/>
      </w:rPr>
    </w:r>
  </w:p>
  <w:p>
    <w:pPr>
      <w:pStyle w:val="Header"/>
      <w:tabs>
        <w:tab w:val="clear" w:pos="4320"/>
        <w:tab w:val="clear" w:pos="8640"/>
        <w:tab w:val="right" w:pos="9360" w:leader="none"/>
      </w:tabs>
      <w:spacing w:before="0" w:after="240"/>
      <w:rPr>
        <w:smallCaps/>
        <w:sz w:val="20"/>
      </w:rPr>
    </w:pPr>
    <w:r>
      <w:rPr>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u w:val="none"/>
      </w:rPr>
    </w:lvl>
    <w:lvl w:ilvl="1">
      <w:start w:val="1"/>
      <w:numFmt w:val="decimal"/>
      <w:lvlText w:val="%2."/>
      <w:lvlJc w:val="start"/>
      <w:pPr>
        <w:tabs>
          <w:tab w:val="num" w:pos="1800"/>
        </w:tabs>
        <w:ind w:start="1800" w:hanging="720"/>
      </w:pPr>
      <w:rPr/>
    </w:lvl>
    <w:lvl w:ilvl="2">
      <w:start w:val="1"/>
      <w:numFmt w:val="lowerLetter"/>
      <w:lvlText w:val="(%3)"/>
      <w:lvlJc w:val="start"/>
      <w:pPr>
        <w:tabs>
          <w:tab w:val="num" w:pos="2700"/>
        </w:tabs>
        <w:ind w:start="2700" w:hanging="720"/>
      </w:pPr>
      <w:rPr/>
    </w:lvl>
    <w:lvl w:ilvl="3">
      <w:start w:val="1"/>
      <w:numFmt w:val="lowerRoman"/>
      <w:lvlText w:val="(%4)"/>
      <w:lvlJc w:val="start"/>
      <w:pPr>
        <w:tabs>
          <w:tab w:val="num" w:pos="324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u w:val="none"/>
    </w:rPr>
  </w:style>
  <w:style w:type="character" w:styleId="WW8Num1z1">
    <w:name w:val="WW8Num1z1"/>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2001-03-23T11:45:00Z</dcterms:created>
  <dc:creator>Jeff Ford</dc:creator>
  <dc:description/>
  <cp:keywords>NYC 999998.1 24571 00308 3/22/01 4:15:16 PM</cp:keywords>
  <dc:language>en-CA</dc:language>
  <cp:lastModifiedBy>protmp2</cp:lastModifiedBy>
  <cp:lastPrinted>2001-03-28T10:46:00Z</cp:lastPrinted>
  <dcterms:modified xsi:type="dcterms:W3CDTF">2001-03-28T14:16:00Z</dcterms:modified>
  <cp:revision>11</cp:revision>
  <dc:subject>Analysis of ECT's Financial, Power and Gas Forms</dc:subject>
  <dc:title>Eron Capital &amp; Trade Resources Memo</dc:title>
</cp:coreProperties>
</file>