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Header"/>
              <w:tabs>
                <w:tab w:val="clear" w:pos="4320"/>
                <w:tab w:val="clear" w:pos="8640"/>
              </w:tabs>
              <w:rPr/>
            </w:pPr>
            <w:r>
              <w:rPr/>
              <w:drawing>
                <wp:inline distT="0" distB="0" distL="0" distR="0">
                  <wp:extent cx="810895" cy="80137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10895" cy="801370"/>
                          </a:xfrm>
                          <a:prstGeom prst="rect">
                            <a:avLst/>
                          </a:prstGeom>
                          <a:noFill/>
                        </pic:spPr>
                      </pic:pic>
                    </a:graphicData>
                  </a:graphic>
                </wp:inline>
              </w:drawing>
            </w:r>
          </w:p>
        </w:tc>
        <w:tc>
          <w:tcPr>
            <w:tcW w:w="7740" w:type="dxa"/>
            <w:tcBorders/>
          </w:tcPr>
          <w:p>
            <w:pPr>
              <w:pStyle w:val="Heading"/>
              <w:rPr>
                <w:b w:val="false"/>
                <w:sz w:val="18"/>
              </w:rPr>
            </w:pPr>
            <w:r>
              <w:rPr>
                <w:rFonts w:eastAsia="Arial"/>
              </w:rPr>
              <w:t xml:space="preserve">                                                                          </w:t>
            </w:r>
            <w:r>
              <w:rPr>
                <w:sz w:val="18"/>
              </w:rPr>
              <w:t>Enron Power Marketing, Inc.</w:t>
            </w:r>
          </w:p>
          <w:p>
            <w:pPr>
              <w:pStyle w:val="Heading"/>
              <w:rPr/>
            </w:pPr>
            <w:r>
              <w:rPr>
                <w:rFonts w:eastAsia="Arial"/>
                <w:sz w:val="18"/>
              </w:rPr>
              <w:t xml:space="preserve">                                                                                    </w:t>
            </w:r>
            <w:r>
              <w:rPr>
                <w:rFonts w:eastAsia="Arial"/>
                <w:sz w:val="16"/>
              </w:rPr>
              <w:t xml:space="preserve">                </w:t>
            </w:r>
            <w:r>
              <w:rPr>
                <w:b w:val="false"/>
                <w:i/>
                <w:sz w:val="16"/>
              </w:rPr>
              <w:t>P.O. Box 4428</w:t>
            </w:r>
          </w:p>
          <w:p>
            <w:pPr>
              <w:pStyle w:val="Normal"/>
              <w:rPr>
                <w:rFonts w:ascii="Arial" w:hAnsi="Arial" w:cs="Arial"/>
                <w:i/>
                <w:i/>
                <w:sz w:val="16"/>
              </w:rPr>
            </w:pPr>
            <w:r>
              <w:rPr>
                <w:rFonts w:eastAsia="Arial" w:cs="Arial" w:ascii="Arial" w:hAnsi="Arial"/>
                <w:i/>
                <w:sz w:val="16"/>
              </w:rPr>
              <w:t xml:space="preserve">                                                                                                             </w:t>
            </w:r>
            <w:r>
              <w:rPr>
                <w:rFonts w:cs="Arial" w:ascii="Arial" w:hAnsi="Arial"/>
                <w:i/>
                <w:sz w:val="16"/>
              </w:rPr>
              <w:t>Houston, Texas 77210-4428</w:t>
            </w:r>
          </w:p>
          <w:p>
            <w:pPr>
              <w:pStyle w:val="Normal"/>
              <w:rPr/>
            </w:pPr>
            <w:r>
              <w:rPr>
                <w:sz w:val="16"/>
              </w:rPr>
              <w:t xml:space="preserve">                                                                                                                         </w:t>
            </w:r>
            <w:r>
              <w:rPr>
                <w:rFonts w:cs="Arial" w:ascii="Arial" w:hAnsi="Arial"/>
                <w:i/>
                <w:sz w:val="16"/>
              </w:rPr>
              <w:t>(FAX) (713) 646-2491</w:t>
            </w:r>
          </w:p>
        </w:tc>
      </w:tr>
    </w:tbl>
    <w:p>
      <w:pPr>
        <w:pStyle w:val="Normal"/>
        <w:rPr/>
      </w:pPr>
      <w:r>
        <w:rPr/>
      </w:r>
    </w:p>
    <w:p>
      <w:pPr>
        <w:pStyle w:val="Normal"/>
        <w:rPr/>
      </w:pPr>
      <w:r>
        <w:rPr/>
      </w:r>
    </w:p>
    <w:p>
      <w:pPr>
        <w:pStyle w:val="Normal"/>
        <w:rPr/>
      </w:pPr>
      <w:r>
        <w:rPr/>
      </w:r>
    </w:p>
    <w:p>
      <w:pPr>
        <w:pStyle w:val="Normal"/>
        <w:rPr/>
      </w:pPr>
      <w:r>
        <w:rPr/>
        <w:tab/>
        <w:tab/>
        <w:tab/>
        <w:tab/>
        <w:t>February 19, 2001</w:t>
      </w:r>
    </w:p>
    <w:p>
      <w:pPr>
        <w:pStyle w:val="Normal"/>
        <w:rPr/>
      </w:pPr>
      <w:r>
        <w:rPr/>
      </w:r>
    </w:p>
    <w:p>
      <w:pPr>
        <w:pStyle w:val="Normal"/>
        <w:rPr/>
      </w:pPr>
      <w:r>
        <w:rPr/>
      </w:r>
    </w:p>
    <w:p>
      <w:pPr>
        <w:pStyle w:val="Normal"/>
        <w:rPr/>
      </w:pPr>
      <w:r>
        <w:rPr/>
        <w:t>S. David Freeman, Advisor to the Governor</w:t>
      </w:r>
    </w:p>
    <w:p>
      <w:pPr>
        <w:pStyle w:val="Normal"/>
        <w:rPr/>
      </w:pPr>
      <w:r>
        <w:rPr/>
        <w:t>California Department of Water Resources</w:t>
      </w:r>
    </w:p>
    <w:p>
      <w:pPr>
        <w:pStyle w:val="Normal"/>
        <w:rPr/>
      </w:pPr>
      <w:r>
        <w:rPr/>
        <w:t>1416 – 9</w:t>
      </w:r>
      <w:r>
        <w:rPr>
          <w:vertAlign w:val="superscript"/>
        </w:rPr>
        <w:t>th</w:t>
      </w:r>
      <w:r>
        <w:rPr/>
        <w:t xml:space="preserve"> Street</w:t>
      </w:r>
    </w:p>
    <w:p>
      <w:pPr>
        <w:pStyle w:val="Normal"/>
        <w:rPr/>
      </w:pPr>
      <w:r>
        <w:rPr/>
        <w:t>Sacramento, California 95814</w:t>
      </w:r>
    </w:p>
    <w:p>
      <w:pPr>
        <w:pStyle w:val="Normal"/>
        <w:rPr/>
      </w:pPr>
      <w:r>
        <w:rPr/>
      </w:r>
    </w:p>
    <w:p>
      <w:pPr>
        <w:pStyle w:val="Normal"/>
        <w:rPr/>
      </w:pPr>
      <w:r>
        <w:rPr/>
        <w:t>FAX# (213) 897-9560</w:t>
      </w:r>
    </w:p>
    <w:p>
      <w:pPr>
        <w:pStyle w:val="Normal"/>
        <w:rPr/>
      </w:pPr>
      <w:r>
        <w:rPr/>
      </w:r>
    </w:p>
    <w:p>
      <w:pPr>
        <w:pStyle w:val="Normal"/>
        <w:rPr/>
      </w:pPr>
      <w:r>
        <w:rPr/>
        <w:tab/>
      </w:r>
      <w:r>
        <w:rPr>
          <w:b/>
        </w:rPr>
        <w:t>Re: Proposed Short-Term CAISO Firm Energy Sale</w:t>
      </w:r>
    </w:p>
    <w:p>
      <w:pPr>
        <w:pStyle w:val="Normal"/>
        <w:rPr>
          <w:b/>
        </w:rPr>
      </w:pPr>
      <w:r>
        <w:rPr>
          <w:b/>
        </w:rPr>
      </w:r>
    </w:p>
    <w:p>
      <w:pPr>
        <w:pStyle w:val="Normal"/>
        <w:rPr/>
      </w:pPr>
      <w:r>
        <w:rPr/>
        <w:t>Dear Mr. Freeman,</w:t>
      </w:r>
    </w:p>
    <w:p>
      <w:pPr>
        <w:pStyle w:val="Normal"/>
        <w:rPr/>
      </w:pPr>
      <w:r>
        <w:rPr/>
      </w:r>
    </w:p>
    <w:p>
      <w:pPr>
        <w:pStyle w:val="Normal"/>
        <w:rPr/>
      </w:pPr>
      <w:r>
        <w:rPr/>
        <w:t xml:space="preserve">As we described in our Response to Notice and Invitation to Bid dated February 6, 2001, Enron Power Marketing Inc. (“EPMI”) and its affiliates are prepared to provide California Department of Water Resources (“CDWR”) various power and power-related products.  At this time, however, EPMI and CDWR are not in agreement with respect to the form of contract and the credit support required to enter into long-term transactions.  In response to your request of February 14, 2001, EPMI proposes that CDWR consider a short-term firm energy transaction.  </w:t>
      </w:r>
    </w:p>
    <w:p>
      <w:pPr>
        <w:pStyle w:val="Normal"/>
        <w:rPr/>
      </w:pPr>
      <w:r>
        <w:rPr/>
      </w:r>
    </w:p>
    <w:p>
      <w:pPr>
        <w:pStyle w:val="Normal"/>
        <w:rPr/>
      </w:pPr>
      <w:r>
        <w:rPr/>
        <w:t>EPMI is prepared to offer to CDWR CAISO Firm Energy under the attached EEI Agreement and Confirmation Letter subject to (i) the payment in full by CDWR to EPMI on or before February 21, 2001 for deliveries of power already made by EPMI to CDWR; (ii) confirmation that CDWR will pay EPMI in full for the new power deliveries according to the schedule described in the attached Confirmation Letter; and (iii) CDWR will in good faith consider the following proposals described in our Response To Notice and Invitation to Bid dated February 6, 2001:</w:t>
      </w:r>
    </w:p>
    <w:p>
      <w:pPr>
        <w:pStyle w:val="Normal"/>
        <w:rPr/>
      </w:pPr>
      <w:r>
        <w:rPr/>
      </w:r>
    </w:p>
    <w:p>
      <w:pPr>
        <w:pStyle w:val="Normal"/>
        <w:numPr>
          <w:ilvl w:val="0"/>
          <w:numId w:val="1"/>
        </w:numPr>
        <w:rPr/>
      </w:pPr>
      <w:r>
        <w:rPr/>
        <w:t>Unit Contingent Power supply from Pastoria Energy Facility</w:t>
      </w:r>
    </w:p>
    <w:p>
      <w:pPr>
        <w:pStyle w:val="Normal"/>
        <w:numPr>
          <w:ilvl w:val="0"/>
          <w:numId w:val="1"/>
        </w:numPr>
        <w:rPr/>
      </w:pPr>
      <w:r>
        <w:rPr/>
        <w:t>Firm Power Supply from Market Sources</w:t>
      </w:r>
    </w:p>
    <w:p>
      <w:pPr>
        <w:pStyle w:val="Normal"/>
        <w:numPr>
          <w:ilvl w:val="0"/>
          <w:numId w:val="1"/>
        </w:numPr>
        <w:rPr/>
      </w:pPr>
      <w:r>
        <w:rPr/>
        <w:t>Hourly Demand Response Program</w:t>
      </w:r>
    </w:p>
    <w:p>
      <w:pPr>
        <w:pStyle w:val="Normal"/>
        <w:rPr/>
      </w:pPr>
      <w:r>
        <w:rPr/>
      </w:r>
    </w:p>
    <w:p>
      <w:pPr>
        <w:pStyle w:val="Normal"/>
        <w:rPr/>
      </w:pPr>
      <w:r>
        <w:rPr/>
        <w:t>The amounts due from CDWR to EPMI are described below:</w:t>
      </w:r>
    </w:p>
    <w:p>
      <w:pPr>
        <w:pStyle w:val="Normal"/>
        <w:rPr/>
      </w:pPr>
      <w:r>
        <w:rPr/>
      </w:r>
    </w:p>
    <w:p>
      <w:pPr>
        <w:pStyle w:val="Normal"/>
        <w:rPr/>
      </w:pPr>
      <w:r>
        <w:rPr>
          <w:b/>
          <w:u w:val="single"/>
        </w:rPr>
        <w:t>DATE</w:t>
      </w:r>
      <w:r>
        <w:rPr/>
        <w:tab/>
        <w:tab/>
      </w:r>
      <w:r>
        <w:rPr>
          <w:b/>
          <w:u w:val="single"/>
        </w:rPr>
        <w:t>DESCRIPTION</w:t>
      </w:r>
      <w:r>
        <w:rPr/>
        <w:tab/>
        <w:tab/>
        <w:tab/>
      </w:r>
      <w:r>
        <w:rPr>
          <w:b/>
          <w:u w:val="single"/>
        </w:rPr>
        <w:t>NET SALES</w:t>
      </w:r>
    </w:p>
    <w:p>
      <w:pPr>
        <w:pStyle w:val="Normal"/>
        <w:rPr/>
      </w:pPr>
      <w:r>
        <w:rPr/>
        <w:t>JAN</w:t>
        <w:tab/>
        <w:tab/>
        <w:t>CDWR</w:t>
        <w:tab/>
        <w:tab/>
        <w:tab/>
        <w:tab/>
        <w:t>$578,870.00</w:t>
      </w:r>
    </w:p>
    <w:p>
      <w:pPr>
        <w:pStyle w:val="Normal"/>
        <w:rPr/>
      </w:pPr>
      <w:r>
        <w:rPr/>
        <w:t>JAN</w:t>
        <w:tab/>
        <w:tab/>
        <w:t>CDWR</w:t>
        <w:tab/>
        <w:tab/>
        <w:tab/>
        <w:tab/>
        <w:t>$4,913,100.00</w:t>
      </w:r>
    </w:p>
    <w:p>
      <w:pPr>
        <w:pStyle w:val="Normal"/>
        <w:rPr/>
      </w:pPr>
      <w:r>
        <w:rPr/>
        <w:t>FEB</w:t>
        <w:tab/>
        <w:tab/>
        <w:t>CERS</w:t>
        <w:tab/>
        <w:tab/>
        <w:tab/>
        <w:tab/>
        <w:t>$6,014,000.00</w:t>
      </w:r>
    </w:p>
    <w:p>
      <w:pPr>
        <w:pStyle w:val="Normal"/>
        <w:rPr/>
      </w:pPr>
      <w:r>
        <w:rPr/>
        <w:t>FEB1-17</w:t>
        <w:tab/>
        <w:t>Block Forward</w:t>
        <w:tab/>
        <w:tab/>
        <w:tab/>
      </w:r>
      <w:r>
        <w:rPr>
          <w:u w:val="single"/>
        </w:rPr>
        <w:t>$2,502,000.00</w:t>
      </w:r>
    </w:p>
    <w:p>
      <w:pPr>
        <w:pStyle w:val="Normal"/>
        <w:rPr/>
      </w:pPr>
      <w:r>
        <w:rPr/>
        <w:tab/>
        <w:tab/>
        <w:tab/>
        <w:tab/>
        <w:t>Total:</w:t>
        <w:tab/>
        <w:tab/>
        <w:t>$14,007,970.00</w:t>
      </w:r>
    </w:p>
    <w:p>
      <w:pPr>
        <w:pStyle w:val="Normal"/>
        <w:rPr/>
      </w:pPr>
      <w:r>
        <w:rPr/>
      </w:r>
    </w:p>
    <w:p>
      <w:pPr>
        <w:pStyle w:val="Normal"/>
        <w:rPr/>
      </w:pPr>
      <w:r>
        <w:rPr/>
        <w:t>The above amount can be wire transferred to:</w:t>
      </w:r>
    </w:p>
    <w:p>
      <w:pPr>
        <w:pStyle w:val="Normal"/>
        <w:rPr/>
      </w:pPr>
      <w:r>
        <w:rPr/>
      </w:r>
    </w:p>
    <w:p>
      <w:pPr>
        <w:pStyle w:val="Normal"/>
        <w:rPr/>
      </w:pPr>
      <w:r>
        <w:rPr/>
        <w:t>BNK:</w:t>
        <w:tab/>
        <w:tab/>
        <w:t>Bank of America</w:t>
      </w:r>
    </w:p>
    <w:p>
      <w:pPr>
        <w:pStyle w:val="Normal"/>
        <w:rPr/>
      </w:pPr>
      <w:r>
        <w:rPr/>
        <w:tab/>
        <w:tab/>
        <w:t>For: Enron Power Marketing, Inc.</w:t>
      </w:r>
    </w:p>
    <w:p>
      <w:pPr>
        <w:pStyle w:val="Normal"/>
        <w:rPr/>
      </w:pPr>
      <w:r>
        <w:rPr/>
        <w:t>ABA:</w:t>
        <w:tab/>
        <w:tab/>
        <w:t>Routing # 111000012</w:t>
      </w:r>
    </w:p>
    <w:p>
      <w:pPr>
        <w:pStyle w:val="Normal"/>
        <w:rPr/>
      </w:pPr>
      <w:r>
        <w:rPr/>
        <w:t>ACCT:</w:t>
        <w:tab/>
        <w:tab/>
        <w:t>#375 046 9312</w:t>
      </w:r>
    </w:p>
    <w:p>
      <w:pPr>
        <w:pStyle w:val="Normal"/>
        <w:rPr/>
      </w:pPr>
      <w:r>
        <w:rPr/>
        <w:t>Confirmation:</w:t>
        <w:tab/>
        <w:t>Enron Power Marketing, Inc.</w:t>
      </w:r>
    </w:p>
    <w:p>
      <w:pPr>
        <w:pStyle w:val="Normal"/>
        <w:rPr/>
      </w:pPr>
      <w:r>
        <w:rPr/>
        <w:tab/>
        <w:tab/>
        <w:t>Credit and Collections</w:t>
      </w:r>
    </w:p>
    <w:p>
      <w:pPr>
        <w:pStyle w:val="Normal"/>
        <w:rPr/>
      </w:pPr>
      <w:r>
        <w:rPr/>
        <w:tab/>
        <w:tab/>
        <w:t>(713) 853-5667</w:t>
      </w:r>
    </w:p>
    <w:p>
      <w:pPr>
        <w:pStyle w:val="Normal"/>
        <w:rPr/>
      </w:pPr>
      <w:r>
        <w:rPr/>
      </w:r>
    </w:p>
    <w:p>
      <w:pPr>
        <w:pStyle w:val="Normal"/>
        <w:rPr/>
      </w:pPr>
      <w:r>
        <w:rPr/>
        <w:t xml:space="preserve">If we find that payment has been made, we will be able to offer a firm price, and if we are in agreement at that time, we will sign and forward the attached documents.  On Friday, February 16, 2001, the price for the power described in the attached Confirmation Letter was $270 per MWh.  The price is subject to change based on market conditions and will need to be revised and confirmed prior to execution of the attached Confirmation Letter.  </w:t>
      </w:r>
    </w:p>
    <w:p>
      <w:pPr>
        <w:pStyle w:val="Normal"/>
        <w:rPr/>
      </w:pPr>
      <w:r>
        <w:rPr/>
      </w:r>
    </w:p>
    <w:p>
      <w:pPr>
        <w:pStyle w:val="Normal"/>
        <w:rPr/>
      </w:pPr>
      <w:r>
        <w:rPr/>
        <w:t>EPMI is available to discuss this proposal at your convenience and we will be available on Tuesday, February 20, 2001 to discuss the amounts payable described above.   We are prepared to continue working with you and your team to establish a Master Agreement with sufficient credit support to enable us to enter into other agreements that best meet your power purchase needs.   I can be reached at (503) 464-3735.</w:t>
      </w:r>
    </w:p>
    <w:p>
      <w:pPr>
        <w:pStyle w:val="Normal"/>
        <w:rPr/>
      </w:pPr>
      <w:r>
        <w:rPr/>
      </w:r>
    </w:p>
    <w:p>
      <w:pPr>
        <w:pStyle w:val="Normal"/>
        <w:rPr/>
      </w:pPr>
      <w:r>
        <w:rPr/>
        <w:t>Yours Truly,</w:t>
      </w:r>
    </w:p>
    <w:p>
      <w:pPr>
        <w:pStyle w:val="Normal"/>
        <w:rPr/>
      </w:pPr>
      <w:r>
        <w:rPr/>
      </w:r>
    </w:p>
    <w:p>
      <w:pPr>
        <w:pStyle w:val="Normal"/>
        <w:rPr/>
      </w:pPr>
      <w:r>
        <w:rPr/>
        <w:t>ENRON POWER MARKETING, INC.</w:t>
      </w:r>
    </w:p>
    <w:p>
      <w:pPr>
        <w:pStyle w:val="Normal"/>
        <w:rPr/>
      </w:pPr>
      <w:r>
        <w:rPr/>
      </w:r>
    </w:p>
    <w:p>
      <w:pPr>
        <w:pStyle w:val="Normal"/>
        <w:rPr/>
      </w:pPr>
      <w:r>
        <w:rPr/>
      </w:r>
    </w:p>
    <w:p>
      <w:pPr>
        <w:pStyle w:val="Normal"/>
        <w:rPr/>
      </w:pPr>
      <w:r>
        <w:rPr/>
        <w:t>Christopher F. Calger</w:t>
      </w:r>
    </w:p>
    <w:p>
      <w:pPr>
        <w:pStyle w:val="Normal"/>
        <w:rPr/>
      </w:pPr>
      <w:r>
        <w:rPr/>
        <w:t>Managing Director</w:t>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080"/>
        </w:tabs>
        <w:ind w:start="108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2001-02-17T22:13:00Z</dcterms:created>
  <dc:creator>ccalger</dc:creator>
  <dc:description/>
  <dc:language>en-CA</dc:language>
  <cp:lastModifiedBy>ccalger</cp:lastModifiedBy>
  <dcterms:modified xsi:type="dcterms:W3CDTF">2001-02-19T17:42:00Z</dcterms:modified>
  <cp:revision>4</cp:revision>
  <dc:subject/>
  <dc:title/>
</cp:coreProperties>
</file>