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August 29,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Enron Market Claims Trading Corp.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1604-EMCTC</w:t>
              <w:br/>
              <w:t>Texas</w:t>
              <w:br/>
              <w:t>EWS-ENA</w:t>
              <w:br/>
              <w:t>NONE</w:t>
              <w:br/>
              <w:t>08/28/01</w:t>
              <w:br/>
              <w:t>05/01/2001</w:t>
              <w:br/>
              <w:t>SBruck</w:t>
              <w:br/>
              <w:t>O-05/01/2001</w:t>
              <w:br/>
              <w:t>O-05/01/2001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Within 13 months of previous.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Texas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800 Brazos Street, Suite 1100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Austin, Texas 78701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To serve as one of two beneficiaries of a special purpose vehicle trust (to be formed to purchase certain insurance claims against certain insurance companies, such claims then to be sold, redeemed or commuted to such insurance companies).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S. McConnell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S. McConnell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Richard P. Bergsieker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S. Cumberland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Director, Finance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Gary J. Hickerson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George A. McClellan, III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Jeffrey A. Shankman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Alan B. Aronowitz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J. Beyer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W. Bradley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Cullen A. Duke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Eric Gonzales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Claibourne L. Harris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Christopher R. Kravas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Maurizio La Noce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Lawrence M. Lawyer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Douglas A. Leach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C. Lewis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Randal T. Maffett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Andrew Makk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Kevin McGowan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L. Nowlan,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A. Wayne Perry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Brent A. Price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Daniel C. Reck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Martin Rees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Donald P. Schroeder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Per A. Sekse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Stuart W. Staley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E. Stewart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Tawney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White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Jonathan Whitehead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L. Wilson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Lori Pinder-Metz*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Common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1.00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01, 2001</w:t>
              <w:br/>
              <w:t>10,000</w:t>
              <w:br/>
              <w:t>1,000</w:t>
              <w:br/>
              <w:t>1,000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Global Markets LLC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01,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Certificate not yet issued pending receipt of evidence of capitalization.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01626290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May 01,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3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503</Words>
  <Characters>3527</Characters>
  <CharactersWithSpaces>2872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2001-08-29T12:05:00Z</dcterms:created>
  <dc:creator>Steven D. Gullion</dc:creator>
  <dc:description/>
  <dc:language>en-US</dc:language>
  <cp:lastModifiedBy/>
  <cp:lastPrinted>2001-08-29T12:04:00Z</cp:lastPrinted>
  <dcterms:modified xsi:type="dcterms:W3CDTF">2001-08-29T12:05:00Z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