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tab/>
        <w:t>Industry Note</w:t>
      </w:r>
    </w:p>
    <w:tbl>
      <w:tblPr>
        <w:tblW w:w="9864" w:type="dxa"/>
        <w:jc w:val="start"/>
        <w:tblInd w:w="-2007" w:type="dxa"/>
        <w:tblLayout w:type="fixed"/>
        <w:tblCellMar>
          <w:top w:w="0" w:type="dxa"/>
          <w:start w:w="0" w:type="dxa"/>
          <w:bottom w:w="0" w:type="dxa"/>
          <w:end w:w="0" w:type="dxa"/>
        </w:tblCellMar>
      </w:tblPr>
      <w:tblGrid>
        <w:gridCol w:w="2907"/>
        <w:gridCol w:w="2"/>
        <w:gridCol w:w="6955"/>
      </w:tblGrid>
      <w:tr>
        <w:trPr>
          <w:trHeight w:val="369" w:hRule="atLeast"/>
        </w:trPr>
        <w:tc>
          <w:tcPr>
            <w:tcW w:w="9864" w:type="dxa"/>
            <w:gridSpan w:val="3"/>
            <w:tcBorders/>
          </w:tcPr>
          <w:p>
            <w:pPr>
              <w:pStyle w:val="SSBReleaseDate"/>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CA May Seek to Reneg. Power Deals; Headline/Political Risks Re-emerge</w:t>
            </w:r>
            <w:r/>
            <w:r>
              <w:rPr/>
              <w:fldChar w:fldCharType="end"/>
            </w:r>
            <w:r>
              <w:rPr/>
            </w:r>
          </w:p>
        </w:tc>
      </w:tr>
      <w:tr>
        <w:trPr>
          <w:trHeight w:val="120" w:hRule="exact"/>
        </w:trPr>
        <w:tc>
          <w:tcPr>
            <w:tcW w:w="2909" w:type="dxa"/>
            <w:gridSpan w:val="2"/>
            <w:tcBorders/>
          </w:tcPr>
          <w:p>
            <w:pPr>
              <w:pStyle w:val="Normal"/>
              <w:snapToGrid w:val="false"/>
              <w:rPr/>
            </w:pPr>
            <w:r>
              <w:rPr/>
            </w:r>
          </w:p>
        </w:tc>
        <w:tc>
          <w:tcPr>
            <w:tcW w:w="6955" w:type="dxa"/>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October 18, 2001</w:t>
            </w:r>
            <w:r/>
            <w:r>
              <w:rPr/>
              <w:fldChar w:fldCharType="end"/>
            </w:r>
            <w:r>
              <w:rPr/>
            </w:r>
          </w:p>
          <w:p>
            <w:pPr>
              <w:pStyle w:val="SSBBlackLine"/>
              <w:ind w:end="1890"/>
              <w:rPr/>
            </w:pPr>
            <w:r>
              <w:rPr/>
            </w:r>
          </w:p>
          <w:p>
            <w:pPr>
              <w:pStyle w:val="SSBAnalystName"/>
              <w:rPr>
                <w:b w:val="false"/>
              </w:rPr>
            </w:pPr>
            <w:r>
              <w:fldChar w:fldCharType="begin">
                <w:ffData>
                  <w:name w:val="TRC_ANALYSTNAME1"/>
                  <w:enabled/>
                  <w:calcOnExit w:val="0"/>
                  <w:textInput/>
                </w:ffData>
              </w:fldChar>
            </w:r>
            <w:r>
              <w:rPr/>
              <w:instrText xml:space="preserve"> FORMTEXT </w:instrText>
            </w:r>
            <w:r>
              <w:rPr/>
            </w:r>
            <w:r>
              <w:rPr/>
              <w:fldChar w:fldCharType="separate"/>
            </w:r>
            <w:r>
              <w:rPr/>
              <w:t>Raymond C. Niles</w:t>
            </w:r>
            <w:r/>
            <w:r>
              <w:rPr/>
              <w:fldChar w:fldCharType="end"/>
            </w:r>
            <w:r>
              <w:rPr/>
            </w:r>
          </w:p>
          <w:p>
            <w:pPr>
              <w:pStyle w:val="SSBAnalystPhone"/>
              <w:rPr/>
            </w:pPr>
            <w:r>
              <w:fldChar w:fldCharType="begin">
                <w:ffData>
                  <w:name w:val="TRC_ANALYSTPHONE1"/>
                  <w:enabled/>
                  <w:calcOnExit w:val="0"/>
                  <w:textInput/>
                </w:ffData>
              </w:fldChar>
            </w:r>
            <w:r>
              <w:rPr/>
              <w:instrText xml:space="preserve"> FORMTEXT </w:instrText>
            </w:r>
            <w:r>
              <w:rPr/>
            </w:r>
            <w:r>
              <w:rPr/>
              <w:fldChar w:fldCharType="separate"/>
            </w:r>
            <w:r>
              <w:rPr/>
              <w:t>+1-212-816-2807</w:t>
            </w:r>
            <w:r/>
            <w:r>
              <w:rPr/>
              <w:fldChar w:fldCharType="end"/>
            </w:r>
            <w:r>
              <w:rPr/>
            </w:r>
          </w:p>
          <w:p>
            <w:pPr>
              <w:pStyle w:val="SSBAnalystEmail"/>
              <w:rPr/>
            </w:pPr>
            <w:r>
              <w:fldChar w:fldCharType="begin">
                <w:ffData>
                  <w:name w:val="TRC_ANALYSTEMAIL1"/>
                  <w:enabled/>
                  <w:calcOnExit w:val="0"/>
                  <w:textInput/>
                </w:ffData>
              </w:fldChar>
            </w:r>
            <w:r>
              <w:rPr/>
              <w:instrText xml:space="preserve"> FORMTEXT </w:instrText>
            </w:r>
            <w:r>
              <w:rPr/>
            </w:r>
            <w:r>
              <w:rPr/>
              <w:fldChar w:fldCharType="separate"/>
            </w:r>
            <w:r>
              <w:rPr/>
              <w:t>ray.niles@ssmb.com</w:t>
            </w:r>
            <w:r/>
            <w:r>
              <w:rPr/>
              <w:fldChar w:fldCharType="end"/>
            </w:r>
            <w:r>
              <w:rPr/>
            </w:r>
          </w:p>
          <w:p>
            <w:pPr>
              <w:pStyle w:val="SSBAnalystName"/>
              <w:rPr>
                <w:b w:val="false"/>
              </w:rPr>
            </w:pPr>
            <w:r>
              <w:fldChar w:fldCharType="begin">
                <w:ffData>
                  <w:name w:val="TRC_ANALYSTNAME2"/>
                  <w:enabled/>
                  <w:calcOnExit w:val="0"/>
                  <w:textInput/>
                </w:ffData>
              </w:fldChar>
            </w:r>
            <w:r>
              <w:rPr/>
              <w:instrText xml:space="preserve"> FORMTEXT </w:instrText>
            </w:r>
            <w:r>
              <w:rPr/>
            </w:r>
            <w:r>
              <w:rPr/>
              <w:fldChar w:fldCharType="separate"/>
            </w:r>
            <w:r>
              <w:rPr/>
              <w:t>Daniele Seitz</w:t>
            </w:r>
            <w:r/>
            <w:r>
              <w:rPr/>
              <w:fldChar w:fldCharType="end"/>
            </w:r>
            <w:r>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t>+1-212-816-6547</w:t>
            </w:r>
            <w:r/>
            <w:r>
              <w:rPr/>
              <w:fldChar w:fldCharType="end"/>
            </w:r>
            <w:r>
              <w:rPr/>
            </w:r>
          </w:p>
          <w:p>
            <w:pPr>
              <w:pStyle w:val="SSBAnalystEmail"/>
              <w:rPr/>
            </w:pPr>
            <w:r>
              <w:fldChar w:fldCharType="begin">
                <w:ffData>
                  <w:name w:val="TRC_ANALYSTEMAIL2"/>
                  <w:enabled/>
                  <w:calcOnExit w:val="0"/>
                  <w:textInput/>
                </w:ffData>
              </w:fldChar>
            </w:r>
            <w:r>
              <w:rPr/>
              <w:instrText xml:space="preserve"> FORMTEXT </w:instrText>
            </w:r>
            <w:r>
              <w:rPr/>
            </w:r>
            <w:r>
              <w:rPr/>
              <w:fldChar w:fldCharType="separate"/>
            </w:r>
            <w:r>
              <w:rPr/>
              <w:t>daniele.seitz@ssmb.com</w:t>
            </w:r>
            <w:r/>
            <w:r>
              <w:rPr/>
              <w:fldChar w:fldCharType="end"/>
            </w:r>
            <w:r>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Timothy K. Dodman, CFA</w:t>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t>+1-212-816-1650</w:t>
            </w:r>
            <w:r/>
            <w:r>
              <w:rPr/>
              <w:fldChar w:fldCharType="end"/>
            </w:r>
            <w:r>
              <w:rPr/>
            </w:r>
          </w:p>
          <w:p>
            <w:pPr>
              <w:pStyle w:val="SSBAnalystEmail"/>
              <w:rPr>
                <w:vanish/>
              </w:rPr>
            </w:pPr>
            <w:r>
              <w:fldChar w:fldCharType="begin">
                <w:ffData>
                  <w:name w:val="TRC_ANALYSTEMAIL3"/>
                  <w:enabled/>
                  <w:calcOnExit w:val="0"/>
                  <w:textInput/>
                </w:ffData>
              </w:fldChar>
            </w:r>
            <w:r>
              <w:rPr>
                <w:vanish/>
              </w:rPr>
              <w:instrText xml:space="preserve"> FORMTEXT </w:instrText>
            </w:r>
            <w:r>
              <w:rPr>
                <w:vanish/>
              </w:rPr>
            </w:r>
            <w:r>
              <w:rPr>
                <w:vanish/>
              </w:rPr>
              <w:fldChar w:fldCharType="separate"/>
            </w:r>
            <w:r>
              <w:rPr>
                <w:vanish/>
              </w:rPr>
              <w:t>tim.dodman@ssmb.com</w:t>
            </w:r>
            <w:r/>
            <w:r>
              <w:rPr>
                <w:vanish/>
              </w:rPr>
              <w:fldChar w:fldCharType="end"/>
            </w:r>
            <w:r>
              <w:rPr>
                <w:vanish/>
              </w:rPr>
            </w:r>
          </w:p>
        </w:tc>
        <w:tc>
          <w:tcPr>
            <w:tcW w:w="6957" w:type="dxa"/>
            <w:gridSpan w:val="2"/>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instrText xml:space="preserve"> FORMTEXT </w:instrText>
            </w:r>
            <w:r>
              <w:rPr/>
            </w:r>
            <w:r>
              <w:rPr/>
              <w:fldChar w:fldCharType="separate"/>
            </w:r>
            <w:r>
              <w:rPr/>
              <w:t>Expec</w:t>
            </w:r>
            <w:r>
              <w:rPr>
                <w:lang w:val="en-CA"/>
              </w:rPr>
              <w:t xml:space="preserve">t Calif. Gov. Gray Davis will announce today plans to renegotiate power contacts that the California Department of Water Resources (CDWR) signed with suppliers earlier this year. </w:t>
            </w:r>
          </w:p>
          <w:p>
            <w:pPr>
              <w:pStyle w:val="SSBSummary"/>
              <w:numPr>
                <w:ilvl w:val="0"/>
                <w:numId w:val="1"/>
              </w:numPr>
              <w:ind w:hanging="0" w:start="0"/>
              <w:rPr>
                <w:lang w:val="en-CA"/>
              </w:rPr>
            </w:pPr>
            <w:r>
              <w:rPr>
                <w:lang w:val="en-CA"/>
              </w:rPr>
              <w:t>Potential exposure for: EPG, DYN, WMB, MIR, NRG, CPN, AYE, CEG and SRE, but estimate in the low single digit range, if any (See Table). DUK and REI not exposed, as contract expired or none signed.</w:t>
            </w:r>
          </w:p>
          <w:p>
            <w:pPr>
              <w:pStyle w:val="SSBSummary"/>
              <w:numPr>
                <w:ilvl w:val="0"/>
                <w:numId w:val="1"/>
              </w:numPr>
              <w:ind w:hanging="0" w:start="0"/>
              <w:rPr>
                <w:lang w:val="en-CA"/>
              </w:rPr>
            </w:pPr>
            <w:r>
              <w:rPr>
                <w:lang w:val="en-CA"/>
              </w:rPr>
              <w:t xml:space="preserve">Main risk: resumption of Calif. headline risk, which had subsided earlier this year with the decline in power prices. </w:t>
            </w:r>
          </w:p>
          <w:p>
            <w:pPr>
              <w:pStyle w:val="SSBSummary"/>
              <w:numPr>
                <w:ilvl w:val="0"/>
                <w:numId w:val="1"/>
              </w:numPr>
              <w:ind w:hanging="0" w:start="0"/>
              <w:rPr>
                <w:lang w:val="en-CA"/>
              </w:rPr>
            </w:pPr>
            <w:r>
              <w:rPr>
                <w:lang w:val="en-CA"/>
              </w:rPr>
              <w:t xml:space="preserve">It appears that none of the power companies have yet been contacted by the state, and it is unknown what approach that the state may take.  </w:t>
            </w:r>
          </w:p>
          <w:p>
            <w:pPr>
              <w:pStyle w:val="SSBSummary"/>
              <w:numPr>
                <w:ilvl w:val="0"/>
                <w:numId w:val="1"/>
              </w:numPr>
              <w:spacing w:before="0" w:after="60"/>
              <w:ind w:hanging="0" w:start="0"/>
              <w:rPr/>
            </w:pPr>
            <w:r>
              <w:rPr>
                <w:lang w:val="en-CA"/>
              </w:rPr>
              <w:t>Some companies have expressed a willingness, but no obligation, to discuss the contracts, but would push hard to retain the NPV of the deals.</w:t>
            </w:r>
            <w:r/>
            <w:r>
              <w:rPr>
                <w:lang w:val="en-CA"/>
              </w:rPr>
              <w:fldChar w:fldCharType="end"/>
            </w:r>
            <w:r>
              <w:rPr>
                <w:lang w:val="en-CA"/>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BodyHeading"/>
        <w:rPr/>
      </w:pPr>
      <w:bookmarkStart w:id="0" w:name="SSB_Data"/>
      <w:bookmarkEnd w:id="0"/>
      <w:r>
        <w:rPr/>
        <w:t>CA May seek to renegotiate power contracts</w:t>
      </w:r>
    </w:p>
    <w:p>
      <w:pPr>
        <w:pStyle w:val="SSBBodyText"/>
        <w:rPr/>
      </w:pPr>
      <w:r>
        <w:rPr/>
        <w:t xml:space="preserve">On Friday, California Governor Gray Davis is expected to announce a goal of renegotiating power contacts that the California Department of Water Resources (CDWR) signed with suppliers earlier this year. Gov. Davis’ office is expected to hold a conference call with reporters on Friday morning to discuss his plans, and at this point it is not known what tact that the state will take. </w:t>
      </w:r>
    </w:p>
    <w:p>
      <w:pPr>
        <w:pStyle w:val="SSBBodyText"/>
        <w:rPr/>
      </w:pPr>
      <w:r>
        <w:rPr/>
        <w:t xml:space="preserve">After being relatively quiet for most of the Summer, we believe that Davis’ call to renegotiate may step up the headline and political risks for Power Producers, Energy Merchants and Integrateds with CDWR contracts. These risks reached a peak in the Spring when power and gas prices in the West were soaring and FERC imposed a price cap on the entire Western region. (Press reports indicate that FERC may soon seek to make adjustments to the price cap, freeing the rest of the region from California.) </w:t>
      </w:r>
    </w:p>
    <w:p>
      <w:pPr>
        <w:pStyle w:val="SSBBodyText"/>
        <w:rPr/>
      </w:pPr>
      <w:r>
        <w:rPr/>
        <w:t xml:space="preserve">We would expect the stocks to come under additional pressure if Davis were to make unreasonable demands of the suppliers, and take a hard-nosed approach as it did with the issue of refunds earlier in the year. However, rational, business-like negotiations could keep the issue out of the spotlight, and ultimate resolution could entirely remove any risks associated with the contracts.  </w:t>
      </w:r>
    </w:p>
    <w:p>
      <w:pPr>
        <w:pStyle w:val="SSBBodyText"/>
        <w:rPr/>
      </w:pPr>
      <w:r>
        <w:rPr/>
        <w:t>To date, it appears that none of the suppliers have been contacted to renegotiate, and they feel there is no obligation to deal. Many companies have said that they would be willing to talk about renegotiating, but that they would need to be made whole for changes that are implemented, keeping the NPV of the contracts. While the risk to earnings appears to be low at this time, we have attempted to gauge the potential exposure to renegotiation for companies with contracts by comparing MW sold to the CDWR and total corporate net MW in the table below.</w:t>
      </w:r>
      <w:r>
        <mc:AlternateContent>
          <mc:Choice Requires="wps">
            <w:drawing>
              <wp:anchor behindDoc="0" distT="118745" distB="118745" distL="118745" distR="118745" simplePos="0" locked="0" layoutInCell="0" allowOverlap="1" relativeHeight="2">
                <wp:simplePos x="0" y="0"/>
                <wp:positionH relativeFrom="margin">
                  <wp:posOffset>-1216025</wp:posOffset>
                </wp:positionH>
                <wp:positionV relativeFrom="paragraph">
                  <wp:posOffset>119380</wp:posOffset>
                </wp:positionV>
                <wp:extent cx="1097280" cy="635000"/>
                <wp:effectExtent l="0" t="0" r="0" b="0"/>
                <wp:wrapSquare wrapText="bothSides"/>
                <wp:docPr id="5" name="Frame1"/>
                <a:graphic xmlns:a="http://schemas.openxmlformats.org/drawingml/2006/main">
                  <a:graphicData uri="http://schemas.microsoft.com/office/word/2010/wordprocessingShape">
                    <wps:wsp>
                      <wps:cNvSpPr txBox="1"/>
                      <wps:spPr>
                        <a:xfrm>
                          <a:off x="0" y="0"/>
                          <a:ext cx="1097280" cy="635000"/>
                        </a:xfrm>
                        <a:prstGeom prst="rect"/>
                        <a:solidFill>
                          <a:srgbClr val="FFFFFF">
                            <a:alpha val="0"/>
                          </a:srgbClr>
                        </a:solidFill>
                      </wps:spPr>
                      <wps:txbx>
                        <w:txbxContent>
                          <w:p>
                            <w:pPr>
                              <w:pStyle w:val="SSBBodyCallout"/>
                              <w:rPr/>
                            </w:pPr>
                            <w:r>
                              <w:rPr/>
                              <w:t>We believe the risk to earnings is low at this time, and near term erosion would be less than 5%, if any</w:t>
                            </w:r>
                          </w:p>
                        </w:txbxContent>
                      </wps:txbx>
                      <wps:bodyPr anchor="t" lIns="0" tIns="0" rIns="0" bIns="0">
                        <a:noAutofit/>
                      </wps:bodyPr>
                    </wps:wsp>
                  </a:graphicData>
                </a:graphic>
              </wp:anchor>
            </w:drawing>
          </mc:Choice>
          <mc:Fallback>
            <w:pict>
              <v:rect fillcolor="#FFFFFF" style="position:absolute;rotation:-0;width:86.4pt;height:5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We believe the risk to earnings is low at this time, and near term erosion would be less than 5%, if any</w:t>
                      </w:r>
                    </w:p>
                  </w:txbxContent>
                </v:textbox>
                <w10:wrap type="square"/>
              </v:rect>
            </w:pict>
          </mc:Fallback>
        </mc:AlternateContent>
      </w:r>
    </w:p>
    <w:p>
      <w:pPr>
        <w:pStyle w:val="SSBBodyText"/>
        <w:rPr/>
      </w:pPr>
      <w:r>
        <w:rPr/>
      </w:r>
    </w:p>
    <w:p>
      <w:pPr>
        <w:pStyle w:val="SSBBodyText"/>
        <w:rPr/>
      </w:pPr>
      <w:r>
        <w:rPr/>
      </w:r>
    </w:p>
    <w:p>
      <w:pPr>
        <w:pStyle w:val="SSBBodyText"/>
        <w:rPr/>
      </w:pPr>
      <w:r>
        <w:rPr/>
      </w:r>
    </w:p>
    <w:p>
      <w:pPr>
        <w:pStyle w:val="SSBBodyText"/>
        <w:rPr/>
      </w:pPr>
      <w:r>
        <w:rPr/>
      </w:r>
    </w:p>
    <w:p>
      <w:pPr>
        <w:pStyle w:val="SSBBodyText"/>
        <w:rPr>
          <w:b/>
        </w:rPr>
      </w:pPr>
      <w:r>
        <w:rPr>
          <w:b/>
        </w:rPr>
        <w:t>The Root of the Problem-A Failed Attempt at Deregulation</w:t>
      </w:r>
    </w:p>
    <w:p>
      <w:pPr>
        <w:pStyle w:val="SSBBodyText"/>
        <w:rPr/>
      </w:pPr>
      <w:r>
        <w:rPr/>
        <w:t xml:space="preserve">The CDWR took over the responsibility for buying power for CA’s utilities after a disastrous attempt to deregulate the electricity market in California (culprit: leaving in place controls at the retail level). Many of the CDWR contracts were signed earlier this year when power and natural gas prices peaked, and at the time were lower than spot prices. However, since entering into the contracts, prices have plummeted due to a combination of conservation, mild weather, a slowing economy and additional capacity entering service. Spot power prices have fallen below the $30/MWh range from above $300/MWh earlier in the Summer. </w:t>
      </w:r>
    </w:p>
    <w:p>
      <w:pPr>
        <w:pStyle w:val="SSBBodyText"/>
        <w:rPr/>
      </w:pPr>
      <w:r>
        <w:rPr/>
        <w:t>The CDWR has entered into 53 contracts for 5000 MW (in 2001) up to 14,000 MW (by 2004) MW totaling about $43 billion, with terms ranging from 90 days to 10 years, to 20 years. Prices average just below $70/MWh over 10 years, but $138/MWh in 2001 and $106/MWh in 2002. They include a number of different contracts, including for around the clock power, peaking power, fixed price power, and variable prices calculated off of the price for natural gas (in effect a tolling deal). Previously, the Governor had given credit to the contracts for bringing down the price of power in the state. Prior to the CDWR buying power, under CA’s deregulation plan, utilities were required to buy power through the spot market and were unable to enter into long term deals to help manage risks. When wholesale prices for power soared at the same time that retail prices were fixed, the utilities were unable to recover their costs and their credit ratings plummeted.</w:t>
      </w:r>
      <w:r>
        <mc:AlternateContent>
          <mc:Choice Requires="wps">
            <w:drawing>
              <wp:anchor behindDoc="0" distT="118745" distB="118745" distL="118745" distR="118745" simplePos="0" locked="0" layoutInCell="0" allowOverlap="1" relativeHeight="3">
                <wp:simplePos x="0" y="0"/>
                <wp:positionH relativeFrom="margin">
                  <wp:posOffset>-1216025</wp:posOffset>
                </wp:positionH>
                <wp:positionV relativeFrom="paragraph">
                  <wp:posOffset>119380</wp:posOffset>
                </wp:positionV>
                <wp:extent cx="1097280" cy="635000"/>
                <wp:effectExtent l="0" t="0" r="0" b="0"/>
                <wp:wrapSquare wrapText="bothSides"/>
                <wp:docPr id="6" name="Frame2"/>
                <a:graphic xmlns:a="http://schemas.openxmlformats.org/drawingml/2006/main">
                  <a:graphicData uri="http://schemas.microsoft.com/office/word/2010/wordprocessingShape">
                    <wps:wsp>
                      <wps:cNvSpPr txBox="1"/>
                      <wps:spPr>
                        <a:xfrm>
                          <a:off x="0" y="0"/>
                          <a:ext cx="1097280" cy="635000"/>
                        </a:xfrm>
                        <a:prstGeom prst="rect"/>
                        <a:solidFill>
                          <a:srgbClr val="FFFFFF">
                            <a:alpha val="0"/>
                          </a:srgbClr>
                        </a:solidFill>
                      </wps:spPr>
                      <wps:txbx>
                        <w:txbxContent>
                          <w:p>
                            <w:pPr>
                              <w:pStyle w:val="SSBBodyCallout"/>
                              <w:rPr/>
                            </w:pPr>
                            <w:r>
                              <w:rPr/>
                              <w:t>The average contract price for 10 years is $70/MWh relative to spot energy prices below $30/MWh</w:t>
                            </w:r>
                          </w:p>
                        </w:txbxContent>
                      </wps:txbx>
                      <wps:bodyPr anchor="t" lIns="0" tIns="0" rIns="0" bIns="0">
                        <a:noAutofit/>
                      </wps:bodyPr>
                    </wps:wsp>
                  </a:graphicData>
                </a:graphic>
              </wp:anchor>
            </w:drawing>
          </mc:Choice>
          <mc:Fallback>
            <w:pict>
              <v:rect fillcolor="#FFFFFF" style="position:absolute;rotation:-0;width:86.4pt;height:5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The average contract price for 10 years is $70/MWh relative to spot energy prices below $30/MWh</w:t>
                      </w:r>
                    </w:p>
                  </w:txbxContent>
                </v:textbox>
                <w10:wrap type="square"/>
              </v:rect>
            </w:pict>
          </mc:Fallback>
        </mc:AlternateContent>
      </w:r>
    </w:p>
    <w:p>
      <w:pPr>
        <w:pStyle w:val="SSBBodyText"/>
        <w:rPr/>
      </w:pPr>
      <w:r>
        <w:rPr/>
        <w:t xml:space="preserve">When demand this summer did not materialize in the state and prices sank, the CDWR was forced to dump the power that is had contracted for back into the wholesale market, taking significant losses and putting further pressure on prices. Thus, the CDWR has been criticized for buying the power at the top of the market, and paying well above market costs. Consumer groups have called for the state to renegotiate the contracts, but this would be the first time that the state acknowledged that contract prices may be too high. </w:t>
      </w:r>
      <w:r>
        <mc:AlternateContent>
          <mc:Choice Requires="wps">
            <w:drawing>
              <wp:anchor behindDoc="0" distT="118745" distB="118745" distL="118745" distR="118745" simplePos="0" locked="0" layoutInCell="0" allowOverlap="1" relativeHeight="4">
                <wp:simplePos x="0" y="0"/>
                <wp:positionH relativeFrom="margin">
                  <wp:posOffset>-1216025</wp:posOffset>
                </wp:positionH>
                <wp:positionV relativeFrom="paragraph">
                  <wp:posOffset>119380</wp:posOffset>
                </wp:positionV>
                <wp:extent cx="1097280" cy="381000"/>
                <wp:effectExtent l="0" t="0" r="0" b="0"/>
                <wp:wrapSquare wrapText="bothSides"/>
                <wp:docPr id="7" name="Frame3"/>
                <a:graphic xmlns:a="http://schemas.openxmlformats.org/drawingml/2006/main">
                  <a:graphicData uri="http://schemas.microsoft.com/office/word/2010/wordprocessingShape">
                    <wps:wsp>
                      <wps:cNvSpPr txBox="1"/>
                      <wps:spPr>
                        <a:xfrm>
                          <a:off x="0" y="0"/>
                          <a:ext cx="1097280" cy="381000"/>
                        </a:xfrm>
                        <a:prstGeom prst="rect"/>
                        <a:solidFill>
                          <a:srgbClr val="FFFFFF">
                            <a:alpha val="0"/>
                          </a:srgbClr>
                        </a:solidFill>
                      </wps:spPr>
                      <wps:txbx>
                        <w:txbxContent>
                          <w:p>
                            <w:pPr>
                              <w:pStyle w:val="SSBBodyCallout"/>
                              <w:rPr/>
                            </w:pPr>
                            <w:r>
                              <w:rPr/>
                              <w:t xml:space="preserve">California bought power at the top of the cycle </w:t>
                            </w:r>
                          </w:p>
                        </w:txbxContent>
                      </wps:txbx>
                      <wps:bodyPr anchor="t" lIns="0" tIns="0" rIns="0" bIns="0">
                        <a:noAutofit/>
                      </wps:bodyPr>
                    </wps:wsp>
                  </a:graphicData>
                </a:graphic>
              </wp:anchor>
            </w:drawing>
          </mc:Choice>
          <mc:Fallback>
            <w:pict>
              <v:rect fillcolor="#FFFFFF" style="position:absolute;rotation:-0;width:86.4pt;height:3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 xml:space="preserve">California bought power at the top of the cycle </w:t>
                      </w:r>
                    </w:p>
                  </w:txbxContent>
                </v:textbox>
                <w10:wrap type="square"/>
              </v:rect>
            </w:pict>
          </mc:Fallback>
        </mc:AlternateContent>
      </w:r>
    </w:p>
    <w:tbl>
      <w:tblPr>
        <w:tblW w:w="10557" w:type="dxa"/>
        <w:jc w:val="start"/>
        <w:tblInd w:w="-2400" w:type="dxa"/>
        <w:tblLayout w:type="fixed"/>
        <w:tblCellMar>
          <w:top w:w="0" w:type="dxa"/>
          <w:start w:w="30" w:type="dxa"/>
          <w:bottom w:w="0" w:type="dxa"/>
          <w:end w:w="30" w:type="dxa"/>
        </w:tblCellMar>
      </w:tblPr>
      <w:tblGrid>
        <w:gridCol w:w="163"/>
        <w:gridCol w:w="1367"/>
        <w:gridCol w:w="990"/>
        <w:gridCol w:w="693"/>
        <w:gridCol w:w="630"/>
        <w:gridCol w:w="540"/>
        <w:gridCol w:w="747"/>
        <w:gridCol w:w="691"/>
        <w:gridCol w:w="691"/>
        <w:gridCol w:w="715"/>
        <w:gridCol w:w="720"/>
        <w:gridCol w:w="720"/>
        <w:gridCol w:w="1170"/>
        <w:gridCol w:w="720"/>
      </w:tblGrid>
      <w:tr>
        <w:trPr>
          <w:trHeight w:val="240" w:hRule="atLeast"/>
        </w:trPr>
        <w:tc>
          <w:tcPr>
            <w:tcW w:w="163" w:type="dxa"/>
            <w:tcBorders>
              <w:bottom w:val="single" w:sz="12" w:space="0" w:color="000000"/>
            </w:tcBorders>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367" w:type="dxa"/>
            <w:tcBorders>
              <w:bottom w:val="single" w:sz="12" w:space="0" w:color="000000"/>
              <w:end w:val="single" w:sz="12" w:space="0" w:color="000000"/>
            </w:tcBorders>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9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2001</w:t>
            </w:r>
          </w:p>
        </w:tc>
        <w:tc>
          <w:tcPr>
            <w:tcW w:w="1323" w:type="dxa"/>
            <w:gridSpan w:val="2"/>
            <w:tcBorders>
              <w:top w:val="single" w:sz="12" w:space="0" w:color="000000"/>
              <w:start w:val="single" w:sz="12" w:space="0" w:color="000000"/>
              <w:bottom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Contract Date</w:t>
            </w:r>
          </w:p>
        </w:tc>
        <w:tc>
          <w:tcPr>
            <w:tcW w:w="0" w:type="dxa"/>
            <w:vMerge w:val="continue"/>
            <w:tcBorders>
              <w:top w:val="single" w:sz="12" w:space="0" w:color="000000"/>
              <w:bottom w:val="single" w:sz="12" w:space="0" w:color="000000"/>
              <w:end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4104" w:type="dxa"/>
            <w:gridSpan w:val="6"/>
            <w:tcBorders>
              <w:top w:val="single" w:sz="12" w:space="0" w:color="000000"/>
              <w:start w:val="single" w:sz="12" w:space="0" w:color="000000"/>
              <w:bottom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MW Contracted by Year**</w:t>
            </w:r>
          </w:p>
        </w:tc>
        <w:tc>
          <w:tcPr>
            <w:tcW w:w="0" w:type="dxa"/>
            <w:vMerge w:val="continue"/>
            <w:tcBorders>
              <w:top w:val="single" w:sz="12" w:space="0" w:color="000000"/>
              <w:bottom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0" w:type="dxa"/>
            <w:vMerge w:val="continue"/>
            <w:tcBorders>
              <w:top w:val="single" w:sz="12" w:space="0" w:color="000000"/>
              <w:bottom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0" w:type="dxa"/>
            <w:vMerge w:val="continue"/>
            <w:tcBorders>
              <w:top w:val="single" w:sz="12" w:space="0" w:color="000000"/>
              <w:bottom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0" w:type="dxa"/>
            <w:vMerge w:val="continue"/>
            <w:tcBorders>
              <w:top w:val="single" w:sz="12" w:space="0" w:color="000000"/>
              <w:bottom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720" w:type="dxa"/>
            <w:tcBorders>
              <w:start w:val="single" w:sz="12" w:space="0" w:color="000000"/>
              <w:bottom w:val="single" w:sz="12" w:space="0" w:color="000000"/>
              <w:end w:val="single" w:sz="12" w:space="0" w:color="000000"/>
            </w:tcBorders>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170" w:type="dxa"/>
            <w:tcBorders>
              <w:top w:val="single" w:sz="12" w:space="0" w:color="000000"/>
              <w:start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Fixed or Fuel</w:t>
            </w:r>
          </w:p>
        </w:tc>
        <w:tc>
          <w:tcPr>
            <w:tcW w:w="720" w:type="dxa"/>
            <w:tcBorders>
              <w:top w:val="single" w:sz="12" w:space="0" w:color="000000"/>
              <w:start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Price</w:t>
            </w:r>
          </w:p>
        </w:tc>
      </w:tr>
      <w:tr>
        <w:trPr>
          <w:trHeight w:val="240" w:hRule="atLeast"/>
        </w:trPr>
        <w:tc>
          <w:tcPr>
            <w:tcW w:w="1530" w:type="dxa"/>
            <w:gridSpan w:val="2"/>
            <w:tcBorders>
              <w:top w:val="single" w:sz="12" w:space="0" w:color="000000"/>
              <w:start w:val="single" w:sz="12" w:space="0" w:color="000000"/>
              <w:bottom w:val="single" w:sz="12" w:space="0" w:color="000000"/>
              <w:end w:val="single" w:sz="12" w:space="0" w:color="000000"/>
            </w:tcBorders>
          </w:tcPr>
          <w:p>
            <w:pPr>
              <w:pStyle w:val="Normal"/>
              <w:rPr>
                <w:rFonts w:ascii="Arial" w:hAnsi="Arial" w:cs="Arial"/>
                <w:b/>
                <w:color w:val="000000"/>
                <w:sz w:val="14"/>
                <w:lang w:eastAsia="en-US"/>
              </w:rPr>
            </w:pPr>
            <w:r>
              <w:rPr>
                <w:rFonts w:cs="Arial" w:ascii="Arial" w:hAnsi="Arial"/>
                <w:b/>
                <w:color w:val="000000"/>
                <w:sz w:val="14"/>
                <w:lang w:eastAsia="en-US"/>
              </w:rPr>
              <w:t>Company</w:t>
            </w:r>
          </w:p>
        </w:tc>
        <w:tc>
          <w:tcPr>
            <w:tcW w:w="0" w:type="dxa"/>
            <w:vMerge w:val="continue"/>
            <w:tcBorders>
              <w:top w:val="single" w:sz="12" w:space="0" w:color="000000"/>
              <w:start w:val="single" w:sz="12" w:space="0" w:color="000000"/>
              <w:bottom w:val="single" w:sz="12" w:space="0" w:color="000000"/>
              <w:end w:val="single" w:sz="12" w:space="0" w:color="000000"/>
            </w:tcBorders>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990" w:type="dxa"/>
            <w:tcBorders>
              <w:top w:val="single" w:sz="12" w:space="0" w:color="000000"/>
              <w:start w:val="single" w:sz="12" w:space="0" w:color="000000"/>
              <w:bottom w:val="single" w:sz="12" w:space="0" w:color="000000"/>
              <w:end w:val="single" w:sz="12" w:space="0" w:color="000000"/>
            </w:tcBorders>
          </w:tcPr>
          <w:p>
            <w:pPr>
              <w:pStyle w:val="Normal"/>
              <w:rPr>
                <w:rFonts w:ascii="Arial" w:hAnsi="Arial" w:cs="Arial"/>
                <w:b/>
                <w:color w:val="000000"/>
                <w:sz w:val="14"/>
                <w:lang w:eastAsia="en-US"/>
              </w:rPr>
            </w:pPr>
            <w:r>
              <w:rPr>
                <w:rFonts w:cs="Arial" w:ascii="Arial" w:hAnsi="Arial"/>
                <w:b/>
                <w:color w:val="000000"/>
                <w:sz w:val="14"/>
                <w:lang w:eastAsia="en-US"/>
              </w:rPr>
              <w:t>Total Net MW</w:t>
            </w:r>
          </w:p>
        </w:tc>
        <w:tc>
          <w:tcPr>
            <w:tcW w:w="693"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Begin</w:t>
            </w:r>
          </w:p>
        </w:tc>
        <w:tc>
          <w:tcPr>
            <w:tcW w:w="63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End</w:t>
            </w:r>
          </w:p>
        </w:tc>
        <w:tc>
          <w:tcPr>
            <w:tcW w:w="54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2001</w:t>
            </w:r>
          </w:p>
        </w:tc>
        <w:tc>
          <w:tcPr>
            <w:tcW w:w="747"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 of total</w:t>
            </w:r>
          </w:p>
        </w:tc>
        <w:tc>
          <w:tcPr>
            <w:tcW w:w="691"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2002</w:t>
            </w:r>
          </w:p>
        </w:tc>
        <w:tc>
          <w:tcPr>
            <w:tcW w:w="691"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2003</w:t>
            </w:r>
          </w:p>
        </w:tc>
        <w:tc>
          <w:tcPr>
            <w:tcW w:w="715"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2004-'10</w:t>
            </w:r>
          </w:p>
        </w:tc>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2011+</w:t>
            </w:r>
          </w:p>
        </w:tc>
        <w:tc>
          <w:tcPr>
            <w:tcW w:w="72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Product</w:t>
            </w:r>
          </w:p>
        </w:tc>
        <w:tc>
          <w:tcPr>
            <w:tcW w:w="1170" w:type="dxa"/>
            <w:tcBorders>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Based Pricing</w:t>
            </w:r>
          </w:p>
        </w:tc>
        <w:tc>
          <w:tcPr>
            <w:tcW w:w="720" w:type="dxa"/>
            <w:tcBorders>
              <w:start w:val="single" w:sz="12" w:space="0" w:color="000000"/>
              <w:bottom w:val="single" w:sz="12" w:space="0" w:color="000000"/>
              <w:end w:val="single" w:sz="12" w:space="0" w:color="000000"/>
            </w:tcBorders>
          </w:tcPr>
          <w:p>
            <w:pPr>
              <w:pStyle w:val="Normal"/>
              <w:jc w:val="center"/>
              <w:rPr>
                <w:rFonts w:ascii="Arial" w:hAnsi="Arial" w:cs="Arial"/>
                <w:b/>
                <w:color w:val="000000"/>
                <w:sz w:val="14"/>
                <w:lang w:eastAsia="en-US"/>
              </w:rPr>
            </w:pPr>
            <w:r>
              <w:rPr>
                <w:rFonts w:cs="Arial" w:ascii="Arial" w:hAnsi="Arial"/>
                <w:b/>
                <w:color w:val="000000"/>
                <w:sz w:val="14"/>
                <w:lang w:eastAsia="en-US"/>
              </w:rPr>
              <w:t>per MWH</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El Paso Corp.</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4,700 </w:t>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2/9/01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12/31/05</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 </w:t>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2%</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Fixed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121.00 </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Dynegy*</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10,600 </w:t>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3/6/01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12/31/04</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 </w:t>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6%</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Various</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Fuel Based</w:t>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Williams</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15,000 </w:t>
            </w:r>
          </w:p>
        </w:tc>
        <w:tc>
          <w:tcPr>
            <w:tcW w:w="693"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3%</w:t>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15"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1</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6/1/01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12/31/10</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Base</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62.50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2</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4/1/01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12/31/10</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175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87.00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3</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6/1/01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12/31/05</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62.50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4</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1/1/03</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12/31/10</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500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62.50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5</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4/1/01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5/31/01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Base</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62.50 </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Mirant</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34,000 </w:t>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6/1/01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12/31/02</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500 </w:t>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1%</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500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148.65 </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NRG Energy*</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20,500 </w:t>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3/6/01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12/31/04</w:t>
            </w:r>
          </w:p>
        </w:tc>
        <w:tc>
          <w:tcPr>
            <w:tcW w:w="540"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 </w:t>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3%</w:t>
            </w:r>
          </w:p>
        </w:tc>
        <w:tc>
          <w:tcPr>
            <w:tcW w:w="691"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691"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715"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720"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Various</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Fuel Based</w:t>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Calpine Corp.</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12,000 </w:t>
            </w:r>
          </w:p>
        </w:tc>
        <w:tc>
          <w:tcPr>
            <w:tcW w:w="693"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3%</w:t>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15"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1</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10/1/01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Base</w:t>
            </w:r>
          </w:p>
        </w:tc>
        <w:tc>
          <w:tcPr>
            <w:tcW w:w="1170"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Fixed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58.60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2a</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7/1/01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Base</w:t>
            </w:r>
          </w:p>
        </w:tc>
        <w:tc>
          <w:tcPr>
            <w:tcW w:w="1170" w:type="dxa"/>
            <w:tcBorders/>
          </w:tcPr>
          <w:p>
            <w:pPr>
              <w:pStyle w:val="Normal"/>
              <w:jc w:val="center"/>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Fixed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115.00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2b</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1/1/02</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12/31/11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Base</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61.00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3</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8/1/01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7/31/21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135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495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495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495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495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159.00 </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Allegheny Energy</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11,600 </w:t>
            </w:r>
          </w:p>
        </w:tc>
        <w:tc>
          <w:tcPr>
            <w:tcW w:w="693"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6%</w:t>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15"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1</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3/23/01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9/30/01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61.00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2</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10/1/01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12/31/11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250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Base</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61.00 </w:t>
            </w:r>
          </w:p>
        </w:tc>
      </w:tr>
      <w:tr>
        <w:trPr>
          <w:trHeight w:val="221" w:hRule="atLeast"/>
        </w:trPr>
        <w:tc>
          <w:tcPr>
            <w:tcW w:w="163" w:type="dxa"/>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1367" w:type="dxa"/>
            <w:tcBorders/>
          </w:tcPr>
          <w:p>
            <w:pPr>
              <w:pStyle w:val="Normal"/>
              <w:rPr>
                <w:rFonts w:ascii="Arial" w:hAnsi="Arial" w:cs="Arial"/>
                <w:color w:val="000000"/>
                <w:sz w:val="14"/>
                <w:lang w:eastAsia="en-US"/>
              </w:rPr>
            </w:pPr>
            <w:r>
              <w:rPr>
                <w:rFonts w:cs="Arial" w:ascii="Arial" w:hAnsi="Arial"/>
                <w:color w:val="000000"/>
                <w:sz w:val="14"/>
                <w:lang w:eastAsia="en-US"/>
              </w:rPr>
              <w:t>Contract 3</w:t>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1/1/03</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12/31/03</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76.00 </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Constellation Energy</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10,000 </w:t>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4/1/01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6/30/03</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 </w:t>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2%</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Fixed</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154.00 </w:t>
            </w:r>
          </w:p>
        </w:tc>
      </w:tr>
      <w:tr>
        <w:trPr>
          <w:trHeight w:val="221" w:hRule="atLeast"/>
        </w:trPr>
        <w:tc>
          <w:tcPr>
            <w:tcW w:w="1530" w:type="dxa"/>
            <w:gridSpan w:val="2"/>
            <w:tcBorders/>
          </w:tcPr>
          <w:p>
            <w:pPr>
              <w:pStyle w:val="Normal"/>
              <w:rPr>
                <w:rFonts w:ascii="Arial" w:hAnsi="Arial" w:cs="Arial"/>
                <w:b/>
                <w:i/>
                <w:i/>
                <w:color w:val="000000"/>
                <w:sz w:val="14"/>
                <w:lang w:eastAsia="en-US"/>
              </w:rPr>
            </w:pPr>
            <w:r>
              <w:rPr>
                <w:rFonts w:cs="Arial" w:ascii="Arial" w:hAnsi="Arial"/>
                <w:b/>
                <w:i/>
                <w:color w:val="000000"/>
                <w:sz w:val="14"/>
                <w:lang w:eastAsia="en-US"/>
              </w:rPr>
              <w:t>Sempra Energy</w:t>
            </w:r>
          </w:p>
        </w:tc>
        <w:tc>
          <w:tcPr>
            <w:tcW w:w="0" w:type="dxa"/>
            <w:vMerge w:val="continue"/>
            <w:tcBorders/>
          </w:tcPr>
          <w:p>
            <w:pPr>
              <w:pStyle w:val="Normal"/>
              <w:snapToGrid w:val="false"/>
              <w:jc w:val="end"/>
              <w:rPr>
                <w:rFonts w:ascii="Arial" w:hAnsi="Arial" w:cs="Arial"/>
                <w:b/>
                <w:i/>
                <w:i/>
                <w:color w:val="000000"/>
                <w:sz w:val="14"/>
                <w:lang w:eastAsia="en-US"/>
              </w:rPr>
            </w:pPr>
            <w:r>
              <w:rPr>
                <w:rFonts w:cs="Arial" w:ascii="Arial" w:hAnsi="Arial"/>
                <w:b/>
                <w:i/>
                <w:color w:val="000000"/>
                <w:sz w:val="14"/>
                <w:lang w:eastAsia="en-US"/>
              </w:rPr>
            </w:r>
          </w:p>
        </w:tc>
        <w:tc>
          <w:tcPr>
            <w:tcW w:w="99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240 </w:t>
            </w:r>
          </w:p>
        </w:tc>
        <w:tc>
          <w:tcPr>
            <w:tcW w:w="693" w:type="dxa"/>
            <w:tcBorders/>
          </w:tcPr>
          <w:p>
            <w:pPr>
              <w:pStyle w:val="Normal"/>
              <w:jc w:val="end"/>
              <w:rPr>
                <w:rFonts w:ascii="Arial" w:hAnsi="Arial" w:cs="Arial"/>
                <w:color w:val="000000"/>
                <w:sz w:val="14"/>
                <w:lang w:eastAsia="en-US"/>
              </w:rPr>
            </w:pPr>
            <w:r>
              <w:rPr>
                <w:rFonts w:cs="Arial" w:ascii="Arial" w:hAnsi="Arial"/>
                <w:color w:val="000000"/>
                <w:sz w:val="14"/>
                <w:lang w:eastAsia="en-US"/>
              </w:rPr>
              <w:t>6/1/01</w:t>
            </w:r>
          </w:p>
        </w:tc>
        <w:tc>
          <w:tcPr>
            <w:tcW w:w="630" w:type="dxa"/>
            <w:tcBorders/>
          </w:tcPr>
          <w:p>
            <w:pPr>
              <w:pStyle w:val="Normal"/>
              <w:jc w:val="end"/>
              <w:rPr>
                <w:rFonts w:ascii="Arial" w:hAnsi="Arial" w:cs="Arial"/>
                <w:color w:val="000000"/>
                <w:sz w:val="14"/>
                <w:lang w:eastAsia="en-US"/>
              </w:rPr>
            </w:pPr>
            <w:r>
              <w:rPr>
                <w:rFonts w:cs="Arial" w:ascii="Arial" w:hAnsi="Arial"/>
                <w:color w:val="000000"/>
                <w:sz w:val="14"/>
                <w:lang w:eastAsia="en-US"/>
              </w:rPr>
              <w:t>9/30/11</w:t>
            </w:r>
          </w:p>
        </w:tc>
        <w:tc>
          <w:tcPr>
            <w:tcW w:w="54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250 </w:t>
            </w:r>
          </w:p>
        </w:tc>
        <w:tc>
          <w:tcPr>
            <w:tcW w:w="747" w:type="dxa"/>
            <w:tcBorders/>
          </w:tcPr>
          <w:p>
            <w:pPr>
              <w:pStyle w:val="Normal"/>
              <w:jc w:val="center"/>
              <w:rPr>
                <w:rFonts w:ascii="Arial" w:hAnsi="Arial" w:cs="Arial"/>
                <w:color w:val="000000"/>
                <w:sz w:val="14"/>
                <w:lang w:eastAsia="en-US"/>
              </w:rPr>
            </w:pPr>
            <w:r>
              <w:rPr>
                <w:rFonts w:cs="Arial" w:ascii="Arial" w:hAnsi="Arial"/>
                <w:color w:val="000000"/>
                <w:sz w:val="14"/>
                <w:lang w:eastAsia="en-US"/>
              </w:rPr>
              <w:t>NM</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450 </w:t>
            </w:r>
          </w:p>
        </w:tc>
        <w:tc>
          <w:tcPr>
            <w:tcW w:w="691"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1,350 </w:t>
            </w:r>
          </w:p>
        </w:tc>
        <w:tc>
          <w:tcPr>
            <w:tcW w:w="715"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1,900 </w:t>
            </w:r>
          </w:p>
        </w:tc>
        <w:tc>
          <w:tcPr>
            <w:tcW w:w="720" w:type="dxa"/>
            <w:tcBorders/>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72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Peak</w:t>
            </w:r>
          </w:p>
        </w:tc>
        <w:tc>
          <w:tcPr>
            <w:tcW w:w="1170" w:type="dxa"/>
            <w:tcBorders/>
          </w:tcPr>
          <w:p>
            <w:pPr>
              <w:pStyle w:val="Normal"/>
              <w:jc w:val="center"/>
              <w:rPr>
                <w:rFonts w:ascii="Arial" w:hAnsi="Arial" w:cs="Arial"/>
                <w:color w:val="000000"/>
                <w:sz w:val="14"/>
                <w:lang w:eastAsia="en-US"/>
              </w:rPr>
            </w:pPr>
            <w:r>
              <w:rPr>
                <w:rFonts w:cs="Arial" w:ascii="Arial" w:hAnsi="Arial"/>
                <w:color w:val="000000"/>
                <w:sz w:val="14"/>
                <w:lang w:eastAsia="en-US"/>
              </w:rPr>
              <w:t>Fuel Based</w:t>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163"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6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3"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3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4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47"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91"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15"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8667" w:type="dxa"/>
            <w:gridSpan w:val="12"/>
            <w:tcBorders/>
          </w:tcPr>
          <w:p>
            <w:pPr>
              <w:pStyle w:val="Normal"/>
              <w:rPr>
                <w:rFonts w:ascii="Arial" w:hAnsi="Arial" w:cs="Arial"/>
                <w:color w:val="000000"/>
                <w:sz w:val="14"/>
                <w:lang w:eastAsia="en-US"/>
              </w:rPr>
            </w:pPr>
            <w:r>
              <w:rPr>
                <w:rFonts w:cs="Arial" w:ascii="Arial" w:hAnsi="Arial"/>
                <w:color w:val="000000"/>
                <w:sz w:val="14"/>
                <w:lang w:eastAsia="en-US"/>
              </w:rPr>
              <w:t>*Dynegy and NRG Energy are 50/50 partners. MW under contract represent their respective portion</w:t>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7227" w:type="dxa"/>
            <w:gridSpan w:val="10"/>
            <w:tcBorders/>
          </w:tcPr>
          <w:p>
            <w:pPr>
              <w:pStyle w:val="Normal"/>
              <w:rPr>
                <w:rFonts w:ascii="Arial" w:hAnsi="Arial" w:cs="Arial"/>
                <w:color w:val="000000"/>
                <w:sz w:val="14"/>
                <w:lang w:eastAsia="en-US"/>
              </w:rPr>
            </w:pPr>
            <w:r>
              <w:rPr>
                <w:rFonts w:cs="Arial" w:ascii="Arial" w:hAnsi="Arial"/>
                <w:color w:val="000000"/>
                <w:sz w:val="14"/>
                <w:lang w:eastAsia="en-US"/>
              </w:rPr>
              <w:t>**MW in each year represents the maximum amount at any time in the year</w:t>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21" w:hRule="atLeast"/>
        </w:trPr>
        <w:tc>
          <w:tcPr>
            <w:tcW w:w="6512" w:type="dxa"/>
            <w:gridSpan w:val="9"/>
            <w:tcBorders/>
          </w:tcPr>
          <w:p>
            <w:pPr>
              <w:pStyle w:val="Normal"/>
              <w:rPr>
                <w:rFonts w:ascii="Arial" w:hAnsi="Arial" w:cs="Arial"/>
                <w:color w:val="000000"/>
                <w:sz w:val="14"/>
                <w:lang w:eastAsia="en-US"/>
              </w:rPr>
            </w:pPr>
            <w:r>
              <w:rPr>
                <w:rFonts w:cs="Arial" w:ascii="Arial" w:hAnsi="Arial"/>
                <w:color w:val="000000"/>
                <w:sz w:val="14"/>
                <w:lang w:eastAsia="en-US"/>
              </w:rPr>
              <w:t>Source: CDWR, CA Controller's Office, company reports and SSB</w:t>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0" w:type="dxa"/>
            <w:vMerge w:val="continue"/>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15"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170" w:type="dxa"/>
            <w:tcBorders/>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bl>
    <w:p>
      <w:pPr>
        <w:pStyle w:val="SSBBodyText"/>
        <w:spacing w:lineRule="auto" w:line="240"/>
        <w:rPr/>
      </w:pPr>
      <w:r>
        <w:rPr/>
      </w:r>
    </w:p>
    <w:p>
      <w:pPr>
        <w:pStyle w:val="SSBBodyText"/>
        <w:rPr>
          <w:b/>
        </w:rPr>
      </w:pPr>
      <w:r>
        <w:rPr>
          <w:b/>
        </w:rPr>
        <w:t>Not So Easy to Renegotiate</w:t>
      </w:r>
    </w:p>
    <w:p>
      <w:pPr>
        <w:pStyle w:val="SSBBodyText"/>
        <w:rPr/>
      </w:pPr>
      <w:r>
        <w:rPr/>
        <w:t xml:space="preserve">Since many of the CDWR contracts are front end loaded (a higher price in the initial 12 months or so), one option for renegotiation could be to spread payments more evenly over the contract period. Another option is to extend the terms for some of the contracts. But we do not believe that any supplier would be willing to take a significant hit to the value of the contracts. </w:t>
      </w:r>
    </w:p>
    <w:p>
      <w:pPr>
        <w:pStyle w:val="SSBBodyText"/>
        <w:rPr/>
      </w:pPr>
      <w:r>
        <w:rPr/>
        <w:t xml:space="preserve">A major issue to renegotiating the contracts is that the power suppliers, for the most part, have already locked in their fuel supply costs, and thus have locked in their sparks spreads, or gross margin. For fixed price contracts, which are roughly half of the CDWR contracts, it would be difficult for generators to lower their power price when the gas price is locked in (via physical or financial contracts). For contracts priced off of natural gas, the energy portion of these contracts will already decline based on the significant drop in natural gas prices over the last six months. </w:t>
      </w:r>
    </w:p>
    <w:p>
      <w:pPr>
        <w:pStyle w:val="SSBBodyText"/>
        <w:rPr/>
      </w:pPr>
      <w:r>
        <w:rPr/>
        <w:t>For each company the risks of renegotiation differ. It is likely that the state would go after the highest cost contracts first. Contracts for peaking capacity will appear to have the highest cost/kWh. Overall, we believe that the most likely outcome would be for the companies to (1) refuse to renegotiate, (2) reduce the near term price in return for a higher price in later years (keeping the NPV but possibly some near term earnings erosion), or (3) take a small hit to NPV in order to extradite the process and remove the headline risks. It should be noted that the high costs in the early years reflect a large number of short term contracts for peaking capacity at very high prices. Other longer term contracts are still above the current market prices, but not overly exorbitant.</w:t>
      </w:r>
      <w:r>
        <mc:AlternateContent>
          <mc:Choice Requires="wps">
            <w:drawing>
              <wp:anchor behindDoc="0" distT="118745" distB="118745" distL="118745" distR="118745" simplePos="0" locked="0" layoutInCell="0" allowOverlap="1" relativeHeight="5">
                <wp:simplePos x="0" y="0"/>
                <wp:positionH relativeFrom="margin">
                  <wp:posOffset>-1216025</wp:posOffset>
                </wp:positionH>
                <wp:positionV relativeFrom="paragraph">
                  <wp:posOffset>119380</wp:posOffset>
                </wp:positionV>
                <wp:extent cx="1097280" cy="635000"/>
                <wp:effectExtent l="0" t="0" r="0" b="0"/>
                <wp:wrapSquare wrapText="bothSides"/>
                <wp:docPr id="8" name="Frame4"/>
                <a:graphic xmlns:a="http://schemas.openxmlformats.org/drawingml/2006/main">
                  <a:graphicData uri="http://schemas.microsoft.com/office/word/2010/wordprocessingShape">
                    <wps:wsp>
                      <wps:cNvSpPr txBox="1"/>
                      <wps:spPr>
                        <a:xfrm>
                          <a:off x="0" y="0"/>
                          <a:ext cx="1097280" cy="635000"/>
                        </a:xfrm>
                        <a:prstGeom prst="rect"/>
                        <a:solidFill>
                          <a:srgbClr val="FFFFFF">
                            <a:alpha val="0"/>
                          </a:srgbClr>
                        </a:solidFill>
                      </wps:spPr>
                      <wps:txbx>
                        <w:txbxContent>
                          <w:p>
                            <w:pPr>
                              <w:pStyle w:val="SSBBodyCallout"/>
                              <w:rPr/>
                            </w:pPr>
                            <w:r>
                              <w:rPr/>
                              <w:t>Many suppliers have already locked in fuel prices, making it difficult to unwind their positions</w:t>
                            </w:r>
                          </w:p>
                        </w:txbxContent>
                      </wps:txbx>
                      <wps:bodyPr anchor="t" lIns="0" tIns="0" rIns="0" bIns="0">
                        <a:noAutofit/>
                      </wps:bodyPr>
                    </wps:wsp>
                  </a:graphicData>
                </a:graphic>
              </wp:anchor>
            </w:drawing>
          </mc:Choice>
          <mc:Fallback>
            <w:pict>
              <v:rect fillcolor="#FFFFFF" style="position:absolute;rotation:-0;width:86.4pt;height:50pt;mso-wrap-distance-left:9.35pt;mso-wrap-distance-right:9.35pt;mso-wrap-distance-top:9.35pt;mso-wrap-distance-bottom:9.35pt;margin-top:9.4pt;mso-position-vertical-relative:text;margin-left:-95.75pt;mso-position-horizontal-relative:margin">
                <v:fill opacity="0f"/>
                <v:textbox inset="0in,0in,0in,0in">
                  <w:txbxContent>
                    <w:p>
                      <w:pPr>
                        <w:pStyle w:val="SSBBodyCallout"/>
                        <w:rPr/>
                      </w:pPr>
                      <w:r>
                        <w:rPr/>
                        <w:t>Many suppliers have already locked in fuel prices, making it difficult to unwind their positions</w:t>
                      </w:r>
                    </w:p>
                  </w:txbxContent>
                </v:textbox>
                <w10:wrap type="square"/>
              </v:rect>
            </w:pict>
          </mc:Fallback>
        </mc:AlternateContent>
      </w:r>
    </w:p>
    <w:p>
      <w:pPr>
        <w:pStyle w:val="SSBBodyText"/>
        <w:rPr/>
      </w:pPr>
      <w:r>
        <w:rPr/>
        <w:t>Many of the contracts are phased in over time, as new plant capacity is added. Therefore, the low percent of CDWR contract capacity to total 2001 MW ownership is low. For example, Calpine was one of the earliest to sign contracts, and for the largest amount. But the contracts are phased in over time, as new capacity is added. In later years the percent of total will rise, but not too much since the total portfolio is increasing. By 2005 the percent for Calpine will only reach 6% despite rising to 2495 MW from 400 MW max at any one time in 2001, or 3%. However, in general these contracts have higher margins than newer capacity, and are likely to comprise a greater percent of earnings.</w:t>
      </w:r>
    </w:p>
    <w:p>
      <w:pPr>
        <w:pStyle w:val="SSBBodyText"/>
        <w:rPr/>
      </w:pPr>
      <w:r>
        <w:rPr/>
      </w:r>
    </w:p>
    <w:p>
      <w:pPr>
        <w:pStyle w:val="SSBBodyText"/>
        <w:rPr/>
      </w:pPr>
      <w:r>
        <w:rPr/>
      </w:r>
    </w:p>
    <w:p>
      <w:pPr>
        <w:pStyle w:val="SSBBodyText"/>
        <w:rPr/>
      </w:pPr>
      <w:r>
        <w:rPr/>
        <w:t>El Paso Corporation# (EPG; 1H; 52.88)</w:t>
      </w:r>
    </w:p>
    <w:p>
      <w:pPr>
        <w:pStyle w:val="SSBBodyText"/>
        <w:rPr/>
      </w:pPr>
      <w:r>
        <w:rPr/>
        <w:t>Duke Energy# (DUK; 1M; 39.80)</w:t>
      </w:r>
    </w:p>
    <w:p>
      <w:pPr>
        <w:pStyle w:val="SSBBodyText"/>
        <w:rPr/>
      </w:pPr>
      <w:r>
        <w:rPr/>
        <w:t>Dynegy# (DYN; 1H, 44.33)</w:t>
      </w:r>
    </w:p>
    <w:p>
      <w:pPr>
        <w:pStyle w:val="SSBBodyText"/>
        <w:rPr/>
      </w:pPr>
      <w:r>
        <w:rPr/>
        <w:t>Williams Companies Inc.# (WMB; 2H;28.74)</w:t>
      </w:r>
    </w:p>
    <w:p>
      <w:pPr>
        <w:pStyle w:val="SSBBodyText"/>
        <w:rPr/>
      </w:pPr>
      <w:r>
        <w:rPr/>
        <w:t>Mirant# (MIR; 1H; 28.10)</w:t>
      </w:r>
    </w:p>
    <w:p>
      <w:pPr>
        <w:pStyle w:val="SSBBodyText"/>
        <w:rPr/>
      </w:pPr>
      <w:r>
        <w:rPr/>
        <w:t>Reliant Energy Inc.# (REI; 2H; 28.73)</w:t>
      </w:r>
    </w:p>
    <w:p>
      <w:pPr>
        <w:pStyle w:val="SSBBodyText"/>
        <w:rPr/>
      </w:pPr>
      <w:r>
        <w:rPr/>
        <w:t>Calpine Corp.# (CPN; 2H; 26.78)</w:t>
      </w:r>
    </w:p>
    <w:p>
      <w:pPr>
        <w:pStyle w:val="SSBBodyText"/>
        <w:rPr/>
      </w:pPr>
      <w:r>
        <w:rPr/>
        <w:t>NRG Energy Inc.# (NRG; 2H; 20.31)</w:t>
      </w:r>
    </w:p>
    <w:p>
      <w:pPr>
        <w:pStyle w:val="SSBBodyText"/>
        <w:rPr/>
      </w:pPr>
      <w:r>
        <w:rPr/>
        <w:t>Allegheny Energy# (AYE; 2H; 38.23)</w:t>
      </w:r>
    </w:p>
    <w:p>
      <w:pPr>
        <w:pStyle w:val="SSBBodyText"/>
        <w:rPr/>
      </w:pPr>
      <w:r>
        <w:rPr/>
        <w:t>Constellation Energy# (CEG; 2H; 27.97)</w:t>
      </w:r>
    </w:p>
    <w:p>
      <w:pPr>
        <w:pStyle w:val="SSBBodyText"/>
        <w:rPr/>
      </w:pPr>
      <w:r>
        <w:rPr/>
        <w:t>Sempra Energy# (SRE; 2H; 24.66)</w:t>
      </w:r>
    </w:p>
    <w:p>
      <w:pPr>
        <w:pStyle w:val="Normal"/>
        <w:rPr/>
      </w:pPr>
      <w:r>
        <w:rPr/>
      </w:r>
    </w:p>
    <w:p>
      <w:pPr>
        <w:pStyle w:val="Normal"/>
        <w:rPr>
          <w:i/>
          <w:i/>
        </w:rPr>
      </w:pPr>
      <w:r>
        <w:rPr>
          <w:i/>
        </w:rPr>
        <w:t>#Within the past three years, Salomon Smith Barney, including its parent and subsidiaries, has been a manager or co-manager of an offering of this company.</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i/>
          <w:i/>
        </w:rPr>
      </w:pPr>
      <w:r>
        <w:rPr>
          <w:i/>
        </w:rPr>
      </w:r>
      <w:bookmarkStart w:id="1" w:name="SSB_ReusableText"/>
      <w:bookmarkStart w:id="2" w:name="SSB_ReusableText"/>
      <w:bookmarkEnd w:id="2"/>
    </w:p>
    <w:p>
      <w:pPr>
        <w:pStyle w:val="Normal"/>
        <w:rPr/>
      </w:pPr>
      <w:r>
        <w:rPr/>
      </w:r>
      <w:bookmarkStart w:id="3" w:name="SSB_Insert"/>
      <w:bookmarkStart w:id="4" w:name="SSB_Insert"/>
      <w:bookmarkEnd w:id="4"/>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rPr>
        <w:instrText xml:space="preserve"> FORMTEXT </w:instrText>
      </w:r>
      <w:r>
        <w:rPr>
          <w:rFonts w:eastAsia="Arial"/>
        </w:rPr>
      </w:r>
      <w:r>
        <w:rPr/>
        <w:fldChar w:fldCharType="separate"/>
      </w:r>
      <w:r>
        <w:rPr/>
        <w:t xml:space="preserve"> </w:t>
      </w: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rPr>
        <w:instrText xml:space="preserve"> FORMTEXT </w:instrText>
      </w:r>
      <w:r>
        <w:rPr>
          <w:rFonts w:eastAsia="Arial"/>
          <w:vanish/>
        </w:rPr>
      </w:r>
      <w:r>
        <w:rPr>
          <w:vanish/>
        </w:rPr>
        <w:fldChar w:fldCharType="separate"/>
      </w:r>
      <w:r>
        <w:rPr>
          <w:vanish/>
        </w:rPr>
        <w:t xml:space="preserve"> </w:t>
      </w:r>
      <w:r>
        <w:rPr>
          <w:vanish/>
        </w:rPr>
      </w:r>
      <w:r>
        <w:rPr>
          <w:vanish/>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and South Africa.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8">
              <wp:simplePos x="0" y="0"/>
              <wp:positionH relativeFrom="page">
                <wp:align>right</wp:align>
              </wp:positionH>
              <wp:positionV relativeFrom="page">
                <wp:posOffset>1463675</wp:posOffset>
              </wp:positionV>
              <wp:extent cx="1677670" cy="457200"/>
              <wp:effectExtent l="0" t="0" r="0" b="0"/>
              <wp:wrapSquare wrapText="bothSides"/>
              <wp:docPr id="4" name="Frame5"/>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Title"/>
      <w:spacing w:before="120" w:after="0"/>
      <w:jc w:val="end"/>
      <w:rPr/>
    </w:pPr>
    <w:r>
      <w:rPr/>
      <w:t>Industry Note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nalystEmail1" w:val="ray.niles@ssmb.com"/>
    <w:docVar w:name="trc_AnalystEmail2" w:val="daniele.seitz@ssmb.com"/>
    <w:docVar w:name="trc_AnalystEmail3" w:val="tim.dodman@ssmb.com"/>
    <w:docVar w:name="trc_AnalystID" w:val="rn95785"/>
    <w:docVar w:name="trc_AnalystID_Sec1" w:val="ds12903"/>
    <w:docVar w:name="trc_AnalystID_Sec2" w:val="td16051"/>
    <w:docVar w:name="trc_AnalystName1" w:val="Raymond C. Niles"/>
    <w:docVar w:name="trc_AnalystName2" w:val="Daniele Seitz"/>
    <w:docVar w:name="trc_AnalystName3" w:val="Timothy K. Dodman, CFA"/>
    <w:docVar w:name="trc_AnalystPhone1" w:val="+1-212-816-2807"/>
    <w:docVar w:name="trc_AnalystPhone2" w:val="+1-212-816-6547"/>
    <w:docVar w:name="trc_AnalystPhone3" w:val="+1-212-816-1650"/>
    <w:docVar w:name="trc_blastvm" w:val="True"/>
    <w:docVar w:name="trc_comments" w:val="Please reference on AM call"/>
    <w:docVar w:name="trc_companyname" w:val="NULL"/>
    <w:docVar w:name="trc_CurFY" w:val="NULL"/>
    <w:docVar w:name="trc_CurrentPrice" w:val="NULL"/>
    <w:docVar w:name="trc_CurrentPrice_P" w:val="NULL"/>
    <w:docVar w:name="trc_DateOfSubmission" w:val="10/18/01 8:27:54 PM"/>
    <w:docVar w:name="trc_Description" w:val="NA"/>
    <w:docVar w:name="trc_DOC_NOTE_ProtectDate" w:val="10/18/2001 6:09:04 PM"/>
    <w:docVar w:name="trc_DocID" w:val="55740"/>
    <w:docVar w:name="trc_DocumentType" w:val="8"/>
    <w:docVar w:name="trc_EPSGR" w:val="NULL"/>
    <w:docVar w:name="trc_EPSGR_P" w:val="NULL"/>
    <w:docVar w:name="trc_FromWorkFlow" w:val="False"/>
    <w:docVar w:name="trc_FYEndMonthIndex" w:val="NULL"/>
    <w:docVar w:name="trc_headline" w:val="CA May Seek to Reneg. Power Deals; Headline/Political Risks Re-emerge"/>
    <w:docVar w:name="trc_headline_display" w:val="CA May Seek to Reneg. Power Deals; Headline/Political Risks Re-emerge"/>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Thesis" w:val="True"/>
    <w:docVar w:name="trc_LastActualQuarte" w:val="Q0"/>
    <w:docVar w:name="trc_MCDate" w:val="10/19/2001 8:00:00 AM"/>
    <w:docVar w:name="trc_MKTCAP" w:val="NULL"/>
    <w:docVar w:name="trc_MktCap_U" w:val="mil."/>
    <w:docVar w:name="trc_morningcall" w:val="True"/>
    <w:docVar w:name="trc_OtherCompanies" w:val="EPG,DYN,DUK,REI,WMB,MIR,NRG,CPN,AYE,CEG,SRE"/>
    <w:docVar w:name="trc_OtherIndustryIDs" w:val="NULL"/>
    <w:docVar w:name="trc_Pages" w:val="4"/>
    <w:docVar w:name="trc_PRICEDATE" w:val="NULL"/>
    <w:docVar w:name="trc_priority" w:val="2"/>
    <w:docVar w:name="trc_pub_subtype" w:val="1"/>
    <w:docVar w:name="trc_publicationtype" w:val="Industry Note"/>
    <w:docVar w:name="trc_RATING" w:val="NULL"/>
    <w:docVar w:name="trc_RATING_P" w:val="NULL"/>
    <w:docVar w:name="trc_RATINGDATE" w:val="NULL"/>
    <w:docVar w:name="trc_releasedate" w:val="10/18/01"/>
    <w:docVar w:name="trc_Risk" w:val="NULL"/>
    <w:docVar w:name="trc_Risk_P" w:val="NULL"/>
    <w:docVar w:name="trc_SecurityID" w:val="NULL"/>
    <w:docVar w:name="trc_SharesOut" w:val="NULL"/>
    <w:docVar w:name="trc_SharesOut_U" w:val="mil."/>
    <w:docVar w:name="trc_StatusMark" w:val="NONE"/>
    <w:docVar w:name="trc_SubjectIDs" w:val="IND"/>
    <w:docVar w:name="trc_submitter" w:val="td16051"/>
    <w:docVar w:name="trc_submittername" w:val="Tim Dodman"/>
    <w:docVar w:name="trc_submitterphone" w:val="+1-212-816-1650"/>
    <w:docVar w:name="trc_target" w:val="NULL"/>
    <w:docVar w:name="trc_target_P" w:val="NULL"/>
    <w:docVar w:name="trc_TemplateID" w:val="8"/>
    <w:docVar w:name="trc_Thesis" w:val="NA"/>
    <w:docVar w:name="trc_ticker" w:val="NULL"/>
    <w:docVar w:name="trc_Ticker_P" w:val="NULL"/>
    <w:docVar w:name="trc_Version" w:val="1"/>
    <w:docVar w:name="trc_WkRng52Hi" w:val="NULL"/>
    <w:docVar w:name="trc_WkRng52Low" w:val="NULL"/>
    <w:docVar w:name="trc_y1" w:val="-1"/>
    <w:docVar w:name="trc_y2" w:val="0"/>
    <w:docVar w:name="trc_y3" w:val="1"/>
    <w:docVar w:name="trc_y4" w:val="2"/>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2001-10-18T22:42:00Z</dcterms:created>
  <dc:creator>Tim Dodman</dc:creator>
  <dc:description/>
  <dc:language>en-CA</dc:language>
  <cp:lastModifiedBy>Tim Dodman</cp:lastModifiedBy>
  <cp:lastPrinted>2001-10-18T20:05:00Z</cp:lastPrinted>
  <dcterms:modified xsi:type="dcterms:W3CDTF">2001-10-18T22:42:00Z</dcterms:modified>
  <cp:revision>2</cp:revision>
  <dc:subject/>
  <dc:title>Power &amp; Natural_20011018_1</dc:title>
</cp:coreProperties>
</file>