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r>
    </w:p>
    <w:p>
      <w:pPr>
        <w:pStyle w:val="Normal"/>
        <w:jc w:val="center"/>
        <w:rPr/>
      </w:pPr>
      <w:r>
        <w:rPr/>
        <w:t>CDD SWAP</w:t>
      </w:r>
    </w:p>
    <w:p>
      <w:pPr>
        <w:pStyle w:val="Normal"/>
        <w:jc w:val="center"/>
        <w:rPr/>
      </w:pPr>
      <w:r>
        <w:rPr/>
        <w:t>GENERAL TERMS AND CONDITIONS (“GTC”)</w:t>
      </w:r>
    </w:p>
    <w:p>
      <w:pPr>
        <w:pStyle w:val="Normal"/>
        <w:jc w:val="center"/>
        <w:rPr/>
      </w:pPr>
      <w:r>
        <w:rPr/>
      </w:r>
    </w:p>
    <w:p>
      <w:pPr>
        <w:pStyle w:val="Normal"/>
        <w:jc w:val="both"/>
        <w:rPr/>
      </w:pPr>
      <w:r>
        <w:rPr/>
      </w:r>
    </w:p>
    <w:p>
      <w:pPr>
        <w:pStyle w:val="Normal"/>
        <w:jc w:val="both"/>
        <w:rPr/>
      </w:pPr>
      <w:r>
        <w:rPr/>
      </w:r>
    </w:p>
    <w:p>
      <w:pPr>
        <w:pStyle w:val="Normal"/>
        <w:jc w:val="both"/>
        <w:rPr/>
      </w:pPr>
      <w:r>
        <w:rPr/>
        <w:t>1.</w:t>
        <w:tab/>
        <w:t>Until a relevant master agreement is executed between you (“Counterparty”) and Enron North America Corp. (“Enron”), this GTC will set forth the general terms and conditions governing all Cooling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Capitalized terms used herein but not defined herein (or in the Definitions or the ISDA Form) are used with the meanings given on the website which makes reference to this GTC (the “Website”).</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Cooling Degree Day (“CDD”)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w:t>
            </w:r>
            <w:r>
              <w:rPr/>
              <w:t xml:space="preserve">Reporting Agency </w:t>
            </w:r>
            <w:r>
              <w:rPr>
                <w:color w:val="000000"/>
              </w:rPr>
              <w:t>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FF0000"/>
              </w:rPr>
            </w:pPr>
            <w:r>
              <w:rPr>
                <w:color w:val="FF0000"/>
              </w:rPr>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CDD’s calculated in accordance with the procedure detailed below, for each day during the applicable Calculation Period.  If more than one Reference Weather Station is specified for a Transaction, then the Floating Amount will be the weighted average of the sum of CDD’s for each such Reference Weather Station during the applicable Calculation Period using the percentage set forth next to such Reference Weather Station for weighting.  If no percentage is so specified, then the weighting shall be equal.</w:t>
            </w:r>
          </w:p>
          <w:p>
            <w:pPr>
              <w:pStyle w:val="Normal"/>
              <w:jc w:val="both"/>
              <w:rPr/>
            </w:pPr>
            <w:r>
              <w:rPr/>
            </w:r>
          </w:p>
          <w:p>
            <w:pPr>
              <w:pStyle w:val="Normal"/>
              <w:jc w:val="both"/>
              <w:rPr/>
            </w:pPr>
            <w:r>
              <w:rPr/>
              <w:t>For a Reference Weather Station, CDD for each day is equal to the greater of (i) the non-rounded average of the daily high and daily low temperatures in Reference Degrees from and including 12:01 AM on that day to and including 12:00 AM on the next day local time as measured by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CDDs using the Rounding Convention.</w:t>
            </w:r>
          </w:p>
          <w:p>
            <w:pPr>
              <w:pStyle w:val="Normal"/>
              <w:jc w:val="both"/>
              <w:rPr/>
            </w:pPr>
            <w:r>
              <w:rPr/>
            </w:r>
          </w:p>
          <w:p>
            <w:pPr>
              <w:pStyle w:val="Normal"/>
              <w:jc w:val="both"/>
              <w:rPr/>
            </w:pPr>
            <w:r>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 (ii) if the Reference Weather Station is in the United Kingdom, The Meteorological Office of London, London Road, Bracknell, Berkshire RG12 2SZ on behalf of the Secretary of State for Defence of the UK, (iii) if the Reference Weather Station is in France, Metéo France, Direction Interregionale, Ile-de-France/Centre Climatologie, 26 boulevard Jourdan, 75014 Paris, France, and (iv) if the Reference Weather Station is in Norway, Norwegian Meteorological Institute, PO Box 43, Blindern, 0313 Oslo 3, Norway.</w:t>
            </w:r>
          </w:p>
          <w:p>
            <w:pPr>
              <w:pStyle w:val="Normal"/>
              <w:jc w:val="both"/>
              <w:rPr/>
            </w:pPr>
            <w:r>
              <w:rPr/>
            </w:r>
          </w:p>
          <w:p>
            <w:pPr>
              <w:pStyle w:val="Normal"/>
              <w:jc w:val="both"/>
              <w:rPr/>
            </w:pPr>
            <w:r>
              <w:rPr/>
              <w:t>The Reporting Agency shall be the National Climatic Data Center</w:t>
            </w:r>
            <w:r>
              <w:rPr>
                <w:color w:val="000000"/>
              </w:rPr>
              <w:t>, a unit of the National Oceanic and Atmospheric Administration Center, or its successor organization, which reports temperature information by the NWS</w:t>
            </w:r>
            <w:r>
              <w:rPr/>
              <w:t xml:space="preserve"> if the Reference Weather Station is in the United States, and (ii) the Reporting Service if the Reference Weather Station is in the United Kingdom, France or Norway.</w:t>
            </w:r>
          </w:p>
          <w:p>
            <w:pPr>
              <w:pStyle w:val="Normal"/>
              <w:jc w:val="both"/>
              <w:rPr/>
            </w:pPr>
            <w:r>
              <w:rPr/>
            </w:r>
          </w:p>
          <w:p>
            <w:pPr>
              <w:pStyle w:val="Normal"/>
              <w:jc w:val="both"/>
              <w:rPr/>
            </w:pPr>
            <w:r>
              <w:rPr/>
              <w:t>The “Rounding Convention” shall be (i) if the Reference Degrees are degrees Fahrenheit, degrees shall be rounded to whole numbers where if the first number after the decimal point is five (5) or greater then the whole number shall be increased by one (1), and if the first number after the decimal point is less than five (5) then the whole number shall remain unchanged and (ii) if the Reference Degrees are degrees Celsius, .degrees shall be rounded to two decimal places where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jc w:val="both"/>
              <w:rPr/>
            </w:pPr>
            <w:r>
              <w:rPr/>
              <w:t xml:space="preserve">If for any day during the Calculation Period a daily maximum or daily minimum temperature is unavailable for a Reference Weather Station (“RWS”) then the missing temperature(s) for that day at such RWS shall be calculated in accordance with the following procedure: </w:t>
            </w:r>
          </w:p>
          <w:p>
            <w:pPr>
              <w:pStyle w:val="Normal"/>
              <w:jc w:val="both"/>
              <w:rPr/>
            </w:pPr>
            <w:r>
              <w:rPr/>
            </w:r>
          </w:p>
          <w:p>
            <w:pPr>
              <w:pStyle w:val="Normal"/>
              <w:numPr>
                <w:ilvl w:val="0"/>
                <w:numId w:val="2"/>
              </w:numPr>
              <w:jc w:val="both"/>
              <w:rPr/>
            </w:pPr>
            <w:r>
              <w:rPr/>
              <w:t xml:space="preserve">the daily maximum (if the missing temperature is a daily maximum) or daily minimum (if the missing temperature is a daily minimum) temperature for the corresponding day of each of the previous 30 years at such RWS shall be identified as reported in Reference Degrees by the Reporting Service (which numbers as reported by the Reporting Service shall not be rounded by the parties) and an average temperature shall be determined, which average temperature shall be determined to and including four decimal points; </w:t>
            </w:r>
          </w:p>
          <w:p>
            <w:pPr>
              <w:pStyle w:val="Normal"/>
              <w:numPr>
                <w:ilvl w:val="0"/>
                <w:numId w:val="2"/>
              </w:numPr>
              <w:jc w:val="both"/>
              <w:rPr/>
            </w:pPr>
            <w:r>
              <w:rPr/>
              <w:t xml:space="preserve">in accordance with the above procedures, the daily maximum or daily minimum temperature as appropriate shall be determined for the corresponding day of each of the previous 30 years at the Fallback Reference Weather Station </w:t>
            </w:r>
            <w:r>
              <w:rPr>
                <w:lang w:eastAsia="en-US"/>
              </w:rPr>
              <w:t xml:space="preserve">or in the event such data is not available, from the closest geographical location that publishes Reporting Service data for that period </w:t>
            </w:r>
            <w:r>
              <w:rPr/>
              <w:t>as reported by the Reporting Agency (which numbers as reported in Reference Degrees by the Reporting Agency shall not be rounded by the parties), and an average temperature shall be determined, which average temperature shall be determined to and including four decimal points;</w:t>
            </w:r>
          </w:p>
          <w:p>
            <w:pPr>
              <w:pStyle w:val="Normal"/>
              <w:numPr>
                <w:ilvl w:val="0"/>
                <w:numId w:val="2"/>
              </w:numPr>
              <w:jc w:val="both"/>
              <w:rPr/>
            </w:pPr>
            <w:r>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pPr>
            <w:r>
              <w:rPr/>
              <w:t xml:space="preserve">the daily maximum or daily minimum temperature as appropriate for the corresponding FRWS for the day for which the daily maximum or daily minimum temperature is missing for the RWS shall be identified as reported in Reference Degrees by the Reporting Agency (which number as reported by the Reporting Agency shall not be rounded);and </w:t>
            </w:r>
          </w:p>
          <w:p>
            <w:pPr>
              <w:pStyle w:val="Normal"/>
              <w:numPr>
                <w:ilvl w:val="0"/>
                <w:numId w:val="2"/>
              </w:numPr>
              <w:jc w:val="both"/>
              <w:rPr/>
            </w:pPr>
            <w:r>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(i) If the Reference Weather Station is in the United States, the data used to determine the Floating Amount (and to the extent required, data for the FRWS) shall be obtained from the Reporting Agency’s official website located at http://www.nndc.noaa.gov/cgi-bin/nndc/ph2_lcd_v2.cgi,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http://www4.ncdc.noaa.gov/cgi-win/wwcgi.dll?WWNolos~Product~PB-078.  Notwithstanding the foregoing, if neither the Regional Climate Data Center nor the Reporting Agency issues data for the RWS, then the procedures set forth under “Fallback Reference Weather Station(s)” shall be utilized to determine the missing data, (ii) if the Reference Weather Station is in the United Kingdom, the data used to determine the Floating Amount (and to the extent required, data for the FRWS) shall be obtained from the Reporting Agency’s official website located at hhtp://www.met-office.gov.uk/eis/weather.html, or any successor thereto, (iii) if the Reference Weather Station is in France, the data used to determine the Floating Amount (and to the extent required, data for the FRWS) shall be obtained from Metéo France, Direction Interregionale, Ile-de-France/Centre Climatologie, 26 boulevard Jourdan, 75014 Paris, France, and (iv) if the Reference Weather Station is in Norway, the data used to determine the Floating Amount (and to the extent required, data for the FRWS) shall be obtained from the Norwegian Meteorological Institute, PO Box 43, Blindern, 0313 Oslo 3, Norway.</w:t>
            </w:r>
          </w:p>
          <w:p>
            <w:pPr>
              <w:pStyle w:val="Normal"/>
              <w:jc w:val="both"/>
              <w:rPr/>
            </w:pPr>
            <w:r>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the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(i) positive number, the Floating Amount Payer shall pay the Fixed Amount Payer an amount in the Contractual Currency</w:t>
            </w:r>
            <w:r>
              <w:rPr>
                <w:color w:val="FF0000"/>
              </w:rPr>
              <w:t xml:space="preserve">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Floating Amount Payer shall not exceed Maximum Payout Limit,</w:t>
            </w:r>
            <w:r>
              <w:rPr>
                <w:color w:val="FF0000"/>
              </w:rPr>
              <w:t xml:space="preserve"> </w:t>
            </w:r>
            <w:r>
              <w:rPr/>
              <w:t xml:space="preserve">or </w:t>
            </w:r>
          </w:p>
          <w:p>
            <w:pPr>
              <w:pStyle w:val="Normal"/>
              <w:keepNext w:val="true"/>
              <w:keepLines/>
              <w:jc w:val="both"/>
              <w:rPr/>
            </w:pPr>
            <w:r>
              <w:rPr/>
              <w:t xml:space="preserve">(ii) negative number, the Fixed Amount Payer shall pay the Floating Amount Payer an absolute amount in the Contractual Currency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that the maximum amount payable by the Fixed Amount Payer shall not exceed Maximum Payout Limit.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Normal"/>
        <w:jc w:val="both"/>
        <w:rPr/>
      </w:pPr>
      <w:r>
        <w:rPr/>
        <w:t>3.</w:t>
        <w:tab/>
      </w:r>
      <w:r>
        <w:rPr>
          <w:b/>
          <w:u w:val="single"/>
        </w:rPr>
        <w:t>General</w:t>
      </w:r>
      <w:r>
        <w:rPr>
          <w:b/>
        </w:rPr>
        <w:t>.</w:t>
      </w:r>
      <w:r>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pPr>
      <w:r>
        <w:rPr/>
      </w:r>
    </w:p>
    <w:p>
      <w:pPr>
        <w:pStyle w:val="Normal"/>
        <w:jc w:val="both"/>
        <w:rPr/>
      </w:pPr>
      <w:r>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
    </w:p>
    <w:p>
      <w:pPr>
        <w:pStyle w:val="Normal"/>
        <w:tabs>
          <w:tab w:val="clear" w:pos="720"/>
          <w:tab w:val="left" w:pos="360" w:leader="none"/>
        </w:tabs>
        <w:jc w:val="both"/>
        <w:rPr/>
      </w:pPr>
      <w:r>
        <w:rPr/>
        <w:t>4.</w:t>
      </w:r>
      <w:r>
        <w:rPr>
          <w:b/>
        </w:rPr>
        <w:tab/>
        <w:tab/>
      </w:r>
      <w:r>
        <w:rPr>
          <w:b/>
          <w:u w:val="single"/>
        </w:rPr>
        <w:t>Representations</w:t>
      </w:r>
      <w:r>
        <w:rPr>
          <w:b/>
        </w:rPr>
        <w:t>.</w:t>
      </w:r>
      <w:r>
        <w:rPr/>
        <w:t xml:space="preserve">  To induce the other to enter into this Transaction, each party represents and warrants to the other that:</w:t>
      </w:r>
      <w:r>
        <w:rPr>
          <w:rFonts w:cs="Arial Narrow" w:ascii="Arial Narrow" w:hAnsi="Arial Narrow"/>
        </w:rPr>
        <w:t xml:space="preserve">  </w:t>
      </w:r>
      <w:r>
        <w:rPr/>
        <w:t xml:space="preserve">(a) </w:t>
      </w:r>
      <w:r>
        <w:rPr>
          <w:u w:val="single"/>
        </w:rPr>
        <w:t>Authority</w:t>
      </w:r>
      <w:r>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u w:val="single"/>
        </w:rPr>
        <w:t>Eligible Swap Participant</w:t>
      </w:r>
      <w:r>
        <w:rPr/>
        <w:t xml:space="preserve">:  it constitutes an “eligible swap participant” as such term is defined in 17 C.F.R. Section 35.1(b)(2) and this Transaction constitutes a “swap agreement” within the meaning of 17 C.F.R. Section 35.1(b)(1);  (c) </w:t>
      </w:r>
      <w:r>
        <w:rPr>
          <w:u w:val="single"/>
        </w:rPr>
        <w:t>Line of Business</w:t>
      </w:r>
      <w:r>
        <w:rPr/>
        <w:t xml:space="preserve">:  as of the Trade Date it is:  (i) exposed in the conduct of its business to the risk of variations in temperature of the kind reflected in this Transaction and (ii) entering into this Transaction solely to offset or manage that risk; and (d) </w:t>
      </w:r>
      <w:r>
        <w:rPr>
          <w:u w:val="single"/>
        </w:rPr>
        <w:t>No Reliance and No Advisory Status</w:t>
      </w:r>
      <w:r>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
    </w:p>
    <w:p>
      <w:pPr>
        <w:pStyle w:val="Normal"/>
        <w:jc w:val="both"/>
        <w:rPr/>
      </w:pPr>
      <w:r>
        <w:rPr/>
        <w:t>5.</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tabs>
          <w:tab w:val="clear" w:pos="720"/>
          <w:tab w:val="left" w:pos="360" w:leader="none"/>
        </w:tabs>
        <w:jc w:val="both"/>
        <w:rPr/>
      </w:pPr>
      <w:r>
        <w:rPr/>
        <w:t>6.</w:t>
        <w:tab/>
        <w:tab/>
      </w:r>
      <w:r>
        <w:rPr>
          <w:b/>
          <w:u w:val="single"/>
        </w:rPr>
        <w:t>Governing Law/Jurisdiction</w:t>
      </w:r>
      <w:r>
        <w:rPr>
          <w:b/>
        </w:rPr>
        <w:t>.</w:t>
      </w:r>
      <w:r>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
    </w:p>
    <w:p>
      <w:pPr>
        <w:pStyle w:val="Normal"/>
        <w:jc w:val="both"/>
        <w:rPr/>
      </w:pPr>
      <w:r>
        <w:rPr/>
        <w:t>7.</w:t>
        <w:tab/>
      </w:r>
      <w:r>
        <w:rPr>
          <w:b/>
          <w:u w:val="single"/>
        </w:rPr>
        <w:t>Confidentiality</w:t>
      </w:r>
      <w:r>
        <w:rPr>
          <w:b/>
        </w:rPr>
        <w:t>.</w:t>
      </w:r>
      <w:r>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8.</w:t>
        <w:tab/>
      </w:r>
      <w:r>
        <w:rPr>
          <w:b/>
          <w:u w:val="single"/>
        </w:rPr>
        <w:t>Calculation Agent</w:t>
      </w:r>
      <w:r>
        <w:rPr>
          <w:b/>
        </w:rPr>
        <w:t>.</w:t>
      </w:r>
      <w:r>
        <w:rPr/>
        <w:t xml:space="preserve">  The Calculation Agent shall be Enron.</w:t>
      </w:r>
    </w:p>
    <w:p>
      <w:pPr>
        <w:pStyle w:val="Normal"/>
        <w:spacing w:lineRule="exact" w:line="240" w:before="240" w:after="0"/>
        <w:jc w:val="both"/>
        <w:rPr/>
      </w:pPr>
      <w:r>
        <w:rPr/>
        <w:t>9.</w:t>
        <w:tab/>
      </w:r>
      <w:r>
        <w:rPr>
          <w:b/>
          <w:u w:val="single"/>
        </w:rPr>
        <w:t>Netting of Payments</w:t>
      </w:r>
      <w:r>
        <w:rPr>
          <w:b/>
        </w:rPr>
        <w:t>.</w:t>
      </w:r>
      <w:r>
        <w:rPr/>
        <w:t xml:space="preserve">  Section 2(c)(ii) of the ISDA Agreement will not apply to all Transactions.</w:t>
      </w:r>
    </w:p>
    <w:p>
      <w:pPr>
        <w:pStyle w:val="Normal"/>
        <w:jc w:val="both"/>
        <w:rPr/>
      </w:pPr>
      <w:r>
        <w:rPr/>
      </w:r>
    </w:p>
    <w:p>
      <w:pPr>
        <w:pStyle w:val="Normal"/>
        <w:tabs>
          <w:tab w:val="left" w:pos="720" w:leader="none"/>
          <w:tab w:val="left" w:pos="810" w:leader="none"/>
        </w:tabs>
        <w:jc w:val="both"/>
        <w:rPr>
          <w:rFonts w:ascii="Arial Narrow" w:hAnsi="Arial Narrow" w:cs="Arial Narrow"/>
        </w:rPr>
      </w:pPr>
      <w:r>
        <w:rPr/>
        <w:t>10.</w:t>
        <w:tab/>
      </w:r>
      <w:r>
        <w:rPr>
          <w:b/>
          <w:u w:val="single"/>
        </w:rPr>
        <w:t>Limitation of Liability</w:t>
      </w:r>
      <w:r>
        <w:rPr>
          <w:b/>
        </w:rPr>
        <w:t>.</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r>
        <w:rPr/>
        <w:t xml:space="preserve"> </w:t>
      </w:r>
    </w:p>
    <w:p>
      <w:pPr>
        <w:pStyle w:val="Normal"/>
        <w:jc w:val="both"/>
        <w:rPr>
          <w:rFonts w:ascii="Arial Narrow" w:hAnsi="Arial Narrow" w:cs="Arial Narrow"/>
        </w:rPr>
      </w:pPr>
      <w:r>
        <w:rPr>
          <w:rFonts w:cs="Arial Narrow" w:ascii="Arial Narrow" w:hAnsi="Arial Narrow"/>
        </w:rPr>
      </w:r>
    </w:p>
    <w:p>
      <w:pPr>
        <w:pStyle w:val="Normal"/>
        <w:jc w:val="both"/>
        <w:rPr/>
      </w:pPr>
      <w:r>
        <w:rPr/>
        <w:t>11.</w:t>
        <w:tab/>
      </w:r>
      <w:r>
        <w:rPr>
          <w:b/>
          <w:u w:val="single"/>
        </w:rPr>
        <w:t>Setoff</w:t>
      </w:r>
      <w:r>
        <w:rPr>
          <w:b/>
        </w:rPr>
        <w:t>.</w:t>
      </w:r>
      <w:r>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spacing w:lineRule="exact" w:line="240" w:before="240" w:after="0"/>
        <w:jc w:val="both"/>
        <w:rPr/>
      </w:pPr>
      <w:r>
        <w:rPr/>
        <w:t xml:space="preserve">12.  </w:t>
      </w:r>
      <w:r>
        <w:rPr>
          <w:b/>
          <w:u w:val="single"/>
        </w:rPr>
        <w:t>Severability</w:t>
      </w:r>
      <w:r>
        <w:rPr>
          <w:b/>
        </w:rPr>
        <w:t>.</w:t>
      </w:r>
      <w:r>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
    </w:p>
    <w:p>
      <w:pPr>
        <w:pStyle w:val="Normal"/>
        <w:tabs>
          <w:tab w:val="clear" w:pos="720"/>
          <w:tab w:val="left" w:pos="810" w:leader="none"/>
          <w:tab w:val="left" w:pos="1170" w:leader="none"/>
        </w:tabs>
        <w:jc w:val="both"/>
        <w:rPr/>
      </w:pPr>
      <w:r>
        <w:rPr/>
        <w:t>13.</w:t>
        <w:tab/>
      </w:r>
      <w:r>
        <w:rPr>
          <w:b/>
          <w:u w:val="single"/>
        </w:rPr>
        <w:t>Collateral Arrangements.</w:t>
      </w:r>
      <w:r>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sectPr>
      <w:footerReference w:type="default" r:id="rId2"/>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1999-10-18T17:25:00Z</dcterms:created>
  <dc:creator>ECT</dc:creator>
  <dc:description/>
  <dc:language>en-CA</dc:language>
  <cp:lastModifiedBy>tjones</cp:lastModifiedBy>
  <cp:lastPrinted>1999-08-15T14:32:00Z</cp:lastPrinted>
  <dcterms:modified xsi:type="dcterms:W3CDTF">1999-10-18T20:41:00Z</dcterms:modified>
  <cp:revision>16</cp:revision>
  <dc:subject/>
  <dc:title>“DEEMED ISDA” CONFIRMATION</dc:title>
</cp:coreProperties>
</file>