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10, 1999</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CDD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spacing w:before="100" w:after="100"/>
              <w:jc w:val="both"/>
              <w:rPr>
                <w:rFonts w:ascii="Arial" w:hAnsi="Arial" w:cs="Arial"/>
                <w:sz w:val="20"/>
              </w:rPr>
            </w:pPr>
            <w:r>
              <w:rPr>
                <w:rFonts w:cs="Arial" w:ascii="Arial" w:hAnsi="Arial"/>
                <w:sz w:val="20"/>
              </w:rPr>
              <w:t>Transaction Type:</w:t>
            </w:r>
          </w:p>
        </w:tc>
        <w:tc>
          <w:tcPr>
            <w:tcW w:w="6401" w:type="dxa"/>
            <w:tcBorders/>
          </w:tcPr>
          <w:p>
            <w:pPr>
              <w:pStyle w:val="Normal"/>
              <w:spacing w:before="100" w:after="100"/>
              <w:jc w:val="both"/>
              <w:rPr>
                <w:rFonts w:ascii="Arial" w:hAnsi="Arial" w:cs="Arial"/>
                <w:sz w:val="20"/>
              </w:rPr>
            </w:pPr>
            <w:r>
              <w:rPr>
                <w:rFonts w:cs="Arial" w:ascii="Arial" w:hAnsi="Arial"/>
                <w:sz w:val="20"/>
              </w:rPr>
              <w:t>Cooling Degree Day ("CDD") Swap</w:t>
            </w:r>
          </w:p>
        </w:tc>
      </w:tr>
      <w:tr>
        <w:trPr/>
        <w:tc>
          <w:tcPr>
            <w:tcW w:w="3153"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401"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3153" w:type="dxa"/>
            <w:tcBorders/>
          </w:tcPr>
          <w:p>
            <w:pPr>
              <w:pStyle w:val="Normal"/>
              <w:spacing w:before="100" w:after="100"/>
              <w:jc w:val="both"/>
              <w:rPr>
                <w:rFonts w:ascii="Arial" w:hAnsi="Arial" w:cs="Arial"/>
                <w:sz w:val="20"/>
              </w:rPr>
            </w:pPr>
            <w:r>
              <w:rPr>
                <w:rFonts w:cs="Arial" w:ascii="Arial" w:hAnsi="Arial"/>
                <w:sz w:val="20"/>
              </w:rPr>
              <w:t>Payment Date(s):</w:t>
            </w:r>
          </w:p>
        </w:tc>
        <w:tc>
          <w:tcPr>
            <w:tcW w:w="6401"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40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40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Floating Amount:</w:t>
            </w:r>
          </w:p>
        </w:tc>
        <w:tc>
          <w:tcPr>
            <w:tcW w:w="6401" w:type="dxa"/>
            <w:tcBorders/>
          </w:tcPr>
          <w:p>
            <w:pPr>
              <w:pStyle w:val="Normal"/>
              <w:spacing w:before="100" w:after="100"/>
              <w:jc w:val="both"/>
              <w:rPr>
                <w:rFonts w:ascii="Arial" w:hAnsi="Arial" w:cs="Arial"/>
                <w:sz w:val="20"/>
              </w:rPr>
            </w:pPr>
            <w:r>
              <w:rPr>
                <w:rFonts w:cs="Arial" w:ascii="Arial" w:hAnsi="Arial"/>
                <w:sz w:val="20"/>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rFonts w:ascii="Arial" w:hAnsi="Arial" w:cs="Arial"/>
                <w:sz w:val="20"/>
              </w:rPr>
            </w:pPr>
            <w:r>
              <w:rPr>
                <w:rFonts w:cs="Arial" w:ascii="Arial" w:hAnsi="Arial"/>
                <w:sz w:val="20"/>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rFonts w:ascii="Arial" w:hAnsi="Arial" w:cs="Arial"/>
                <w:sz w:val="20"/>
              </w:rPr>
            </w:pPr>
            <w:r>
              <w:rPr>
                <w:rFonts w:cs="Arial" w:ascii="Arial" w:hAnsi="Arial"/>
                <w:sz w:val="20"/>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rFonts w:ascii="Arial" w:hAnsi="Arial" w:cs="Arial"/>
                <w:sz w:val="20"/>
              </w:rPr>
            </w:pPr>
            <w:r>
              <w:rPr>
                <w:rFonts w:cs="Arial" w:ascii="Arial" w:hAnsi="Arial"/>
                <w:sz w:val="20"/>
              </w:rPr>
              <w:t>The Reporting Agency shall be the National Climatic Data Center, a unit of the National Oceanic and Atmospheric Administration Center, or its successor organization, which reports temperature information by the NWS if the Reference Weather Station is in the United States, and (ii) the Reporting Service if the Reference Weather Station is in the United Kingdom, France or Norway.</w:t>
            </w:r>
          </w:p>
          <w:p>
            <w:pPr>
              <w:pStyle w:val="Normal"/>
              <w:spacing w:before="100" w:after="100"/>
              <w:jc w:val="both"/>
              <w:rPr>
                <w:rFonts w:ascii="Arial" w:hAnsi="Arial" w:cs="Arial"/>
                <w:sz w:val="20"/>
              </w:rPr>
            </w:pPr>
            <w:r>
              <w:rPr>
                <w:rFonts w:cs="Arial" w:ascii="Arial" w:hAnsi="Arial"/>
                <w:sz w:val="20"/>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401"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rFonts w:ascii="Arial" w:hAnsi="Arial" w:cs="Arial"/>
                <w:sz w:val="20"/>
              </w:rPr>
            </w:pPr>
            <w:r>
              <w:rPr>
                <w:rFonts w:cs="Arial" w:ascii="Arial" w:hAnsi="Arial"/>
                <w:sz w:val="20"/>
              </w:rPr>
              <w:t>(i)</w:t>
              <w:tab/>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jc w:val="both"/>
              <w:rPr>
                <w:rFonts w:ascii="Arial" w:hAnsi="Arial" w:cs="Arial"/>
                <w:sz w:val="20"/>
              </w:rPr>
            </w:pPr>
            <w:r>
              <w:rPr>
                <w:rFonts w:cs="Arial" w:ascii="Arial" w:hAnsi="Arial"/>
                <w:sz w:val="20"/>
              </w:rPr>
              <w:t>(ii)</w:t>
              <w:tab/>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Reporting Service data for that period 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jc w:val="both"/>
              <w:rPr>
                <w:rFonts w:ascii="Arial" w:hAnsi="Arial" w:cs="Arial"/>
                <w:sz w:val="20"/>
              </w:rPr>
            </w:pPr>
            <w:r>
              <w:rPr>
                <w:rFonts w:cs="Arial" w:ascii="Arial" w:hAnsi="Arial"/>
                <w:sz w:val="20"/>
              </w:rPr>
              <w:t>(iii)</w:t>
              <w:tab/>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jc w:val="both"/>
              <w:rPr>
                <w:rFonts w:ascii="Arial" w:hAnsi="Arial" w:cs="Arial"/>
                <w:sz w:val="20"/>
              </w:rPr>
            </w:pPr>
            <w:r>
              <w:rPr>
                <w:rFonts w:cs="Arial" w:ascii="Arial" w:hAnsi="Arial"/>
                <w:sz w:val="20"/>
              </w:rPr>
              <w:t>(iv)</w:t>
              <w:tab/>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spacing w:before="100" w:after="100"/>
              <w:jc w:val="both"/>
              <w:rPr>
                <w:rFonts w:ascii="Arial" w:hAnsi="Arial" w:cs="Arial"/>
                <w:sz w:val="20"/>
              </w:rPr>
            </w:pPr>
            <w:r>
              <w:rPr>
                <w:rFonts w:cs="Arial" w:ascii="Arial" w:hAnsi="Arial"/>
                <w:sz w:val="20"/>
              </w:rPr>
              <w:t>(v)</w:t>
              <w:tab/>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3153" w:type="dxa"/>
            <w:tcBorders/>
          </w:tcPr>
          <w:p>
            <w:pPr>
              <w:pStyle w:val="Normal"/>
              <w:spacing w:before="100" w:after="100"/>
              <w:jc w:val="both"/>
              <w:rPr>
                <w:rFonts w:ascii="Arial" w:hAnsi="Arial" w:cs="Arial"/>
                <w:sz w:val="20"/>
              </w:rPr>
            </w:pPr>
            <w:r>
              <w:rPr>
                <w:rFonts w:cs="Arial" w:ascii="Arial" w:hAnsi="Arial"/>
                <w:sz w:val="20"/>
              </w:rPr>
              <w:t>Data Sources:</w:t>
            </w:r>
          </w:p>
        </w:tc>
        <w:tc>
          <w:tcPr>
            <w:tcW w:w="6401" w:type="dxa"/>
            <w:tcBorders/>
          </w:tcPr>
          <w:p>
            <w:pPr>
              <w:pStyle w:val="Normal"/>
              <w:spacing w:before="100" w:after="100"/>
              <w:jc w:val="both"/>
              <w:rPr/>
            </w:pPr>
            <w:r>
              <w:rPr>
                <w:rFonts w:cs="Arial" w:ascii="Arial" w:hAnsi="Arial"/>
                <w:sz w:val="20"/>
              </w:rPr>
              <w:t>(i)</w:t>
              <w:tab/>
              <w:t xml:space="preserve">If the Reference Weather Station is in the United States, the data used to determine the Floating Amount (and to the extent required, data for the FRWS) shall be obtained from the Reporting Agency’s official website located at </w:t>
            </w:r>
            <w:hyperlink r:id="rId2">
              <w:r>
                <w:rPr>
                  <w:rStyle w:val="Hyperlink"/>
                </w:rPr>
                <w:t>http://www.nndc.noaa.gov/cgi-bin/nndc/ph2_lcd_v2.cgi</w:t>
              </w:r>
            </w:hyperlink>
            <w:r>
              <w:rPr>
                <w:rFonts w:cs="Arial" w:ascii="Arial" w:hAnsi="Arial"/>
                <w:sz w:val="20"/>
              </w:rPr>
              <w:t xml:space="preserve">, or any successor thereto; provided, however, if data is not reported for any particular day at such website, then the data for such day shall be obtained from the website for the appropriate Regional Climate Data Center located at </w:t>
            </w:r>
            <w:hyperlink r:id="rId3">
              <w:r>
                <w:rPr>
                  <w:rStyle w:val="Hyperlink"/>
                </w:rPr>
                <w:t>http://www.nws.noaa.gov/regions.shtml</w:t>
              </w:r>
            </w:hyperlink>
            <w:r>
              <w:rPr>
                <w:rFonts w:cs="Arial" w:ascii="Arial" w:hAnsi="Arial"/>
                <w:sz w:val="20"/>
              </w:rPr>
              <w: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t>
            </w:r>
            <w:hyperlink r:id="rId4">
              <w:r>
                <w:rPr>
                  <w:rStyle w:val="Hyperlink"/>
                </w:rPr>
                <w:t>http://www4.ncdc.noaa.gov/cgi-win/wwcgi.dll?WWNolos~Product~PB-078</w:t>
              </w:r>
            </w:hyperlink>
            <w:r>
              <w:rPr>
                <w:rFonts w:cs="Arial" w:ascii="Arial" w:hAnsi="Arial"/>
                <w:sz w:val="20"/>
              </w:rPr>
              <w:t>.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tc>
      </w:tr>
      <w:tr>
        <w:trPr/>
        <w:tc>
          <w:tcPr>
            <w:tcW w:w="3153" w:type="dxa"/>
            <w:tcBorders/>
          </w:tcPr>
          <w:p>
            <w:pPr>
              <w:pStyle w:val="Normal"/>
              <w:spacing w:before="100" w:after="100"/>
              <w:jc w:val="both"/>
              <w:rPr>
                <w:rFonts w:ascii="Arial" w:hAnsi="Arial" w:cs="Arial"/>
                <w:sz w:val="20"/>
              </w:rPr>
            </w:pPr>
            <w:r>
              <w:rPr>
                <w:rFonts w:cs="Arial" w:ascii="Arial" w:hAnsi="Arial"/>
                <w:sz w:val="20"/>
              </w:rPr>
              <w:t>Strike Amount Differential:</w:t>
            </w:r>
          </w:p>
        </w:tc>
        <w:tc>
          <w:tcPr>
            <w:tcW w:w="6401"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3153" w:type="dxa"/>
            <w:tcBorders/>
          </w:tcPr>
          <w:p>
            <w:pPr>
              <w:pStyle w:val="Normal"/>
              <w:spacing w:before="100" w:after="100"/>
              <w:jc w:val="both"/>
              <w:rPr>
                <w:rFonts w:ascii="Arial" w:hAnsi="Arial" w:cs="Arial"/>
                <w:sz w:val="20"/>
              </w:rPr>
            </w:pPr>
            <w:r>
              <w:rPr>
                <w:rFonts w:cs="Arial" w:ascii="Arial" w:hAnsi="Arial"/>
                <w:sz w:val="20"/>
              </w:rPr>
              <w:t>Payment Amount:</w:t>
            </w:r>
          </w:p>
        </w:tc>
        <w:tc>
          <w:tcPr>
            <w:tcW w:w="6401"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jc w:val="both"/>
              <w:rPr/>
            </w:pPr>
            <w:r>
              <w:rPr>
                <w:rFonts w:cs="Arial" w:ascii="Arial" w:hAnsi="Arial"/>
                <w:sz w:val="20"/>
              </w:rPr>
              <w:t>(i) 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spacing w:before="100" w:after="100"/>
              <w:jc w:val="both"/>
              <w:rPr/>
            </w:pPr>
            <w:r>
              <w:rPr>
                <w:rFonts w:cs="Arial" w:ascii="Arial" w:hAnsi="Arial"/>
                <w:sz w:val="20"/>
              </w:rPr>
              <w:t xml:space="preserve">(ii) 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bl>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rFonts w:cs="Arial" w:ascii="Arial" w:hAnsi="Arial"/>
          <w:sz w:val="20"/>
          <w:u w:val="single"/>
        </w:rPr>
        <w:t>Eligible Swap Participant</w:t>
      </w:r>
      <w:r>
        <w:rPr>
          <w:rFonts w:cs="Arial" w:ascii="Arial" w:hAnsi="Arial"/>
          <w:sz w:val="20"/>
        </w:rPr>
        <w:t xml:space="preserve">: it constitutes an "eligible swap participant" as such term is defined in 17 C.F.R. Section 35.1(b)(2) and this Transaction constitutes a "swap agreement" within the meaning of 17 C.F.R. Section 35.1(b)(1);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spacing w:before="100" w:after="100"/>
        <w:jc w:val="both"/>
        <w:rPr/>
      </w:pPr>
      <w:r>
        <w:rPr>
          <w:rFonts w:cs="Arial" w:ascii="Arial" w:hAnsi="Arial"/>
          <w:sz w:val="20"/>
        </w:rPr>
        <w:t>13.</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2000-11-30T20:00:00Z</dcterms:created>
  <dc:creator>mlozano</dc:creator>
  <dc:description/>
  <dc:language>en-CA</dc:language>
  <cp:lastModifiedBy>mlozano</cp:lastModifiedBy>
  <dcterms:modified xsi:type="dcterms:W3CDTF">2000-11-30T20:00:00Z</dcterms:modified>
  <cp:revision>2</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