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r>
    </w:p>
    <w:p>
      <w:pPr>
        <w:pStyle w:val="Normal"/>
        <w:jc w:val="center"/>
        <w:rPr/>
      </w:pPr>
      <w:r>
        <w:rPr/>
        <w:t>CDD SWAP</w:t>
      </w:r>
    </w:p>
    <w:p>
      <w:pPr>
        <w:pStyle w:val="Normal"/>
        <w:jc w:val="center"/>
        <w:rPr/>
      </w:pPr>
      <w:r>
        <w:rPr/>
        <w:t>GENERAL TERMS AND CONDITIONS (“GTC”)</w:t>
      </w:r>
    </w:p>
    <w:p>
      <w:pPr>
        <w:pStyle w:val="Normal"/>
        <w:jc w:val="center"/>
        <w:rPr/>
      </w:pPr>
      <w:r>
        <w:rPr/>
      </w:r>
    </w:p>
    <w:p>
      <w:pPr>
        <w:pStyle w:val="Normal"/>
        <w:jc w:val="both"/>
        <w:rPr/>
      </w:pPr>
      <w:r>
        <w:rPr/>
      </w:r>
    </w:p>
    <w:p>
      <w:pPr>
        <w:pStyle w:val="Normal"/>
        <w:jc w:val="both"/>
        <w:rPr/>
      </w:pPr>
      <w:r>
        <w:rPr/>
      </w:r>
    </w:p>
    <w:p>
      <w:pPr>
        <w:pStyle w:val="Normal"/>
        <w:jc w:val="both"/>
        <w:rPr/>
      </w:pPr>
      <w:r>
        <w:rPr/>
        <w:t>1.</w:t>
        <w:tab/>
        <w:t>Until a relevant master agreement is executed between you (“Counterparty”) and Enron North America Corp. (“Enron”), this GTC will set forth the general terms and conditions governing all Cooling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Definitons) are used with the meanings given on the website which makes reference to this GTC (the “Website”).</w:t>
      </w:r>
    </w:p>
    <w:p>
      <w:pPr>
        <w:pStyle w:val="Normal"/>
        <w:jc w:val="both"/>
        <w:rPr>
          <w:color w:val="000000"/>
        </w:rPr>
      </w:pPr>
      <w:r>
        <w:rPr>
          <w:color w:val="000000"/>
        </w:rPr>
      </w:r>
    </w:p>
    <w:p>
      <w:pPr>
        <w:pStyle w:val="Normal"/>
        <w:numPr>
          <w:ilvl w:val="0"/>
          <w:numId w:val="3"/>
        </w:numPr>
        <w:tabs>
          <w:tab w:val="clear" w:pos="720"/>
          <w:tab w:val="left" w:pos="900" w:leader="none"/>
        </w:tabs>
        <w:jc w:val="both"/>
        <w:rPr>
          <w:color w:val="000000"/>
        </w:rPr>
      </w:pPr>
      <w:r>
        <w:rPr>
          <w:b/>
          <w:color w:val="000000"/>
          <w:u w:val="single"/>
        </w:rPr>
        <w:t>Terms of Transaction.</w:t>
      </w:r>
      <w:r>
        <w:rPr>
          <w:b/>
          <w:color w:val="000000"/>
        </w:rPr>
        <w:t xml:space="preserve">  </w:t>
      </w:r>
      <w:r>
        <w:rPr>
          <w:color w:val="000000"/>
        </w:rPr>
        <w:t>The terms of the particular Transaction to which this Confirmation relates are as follows:</w:t>
      </w:r>
    </w:p>
    <w:p>
      <w:pPr>
        <w:pStyle w:val="Normal"/>
        <w:jc w:val="both"/>
        <w:rPr>
          <w:color w:val="000000"/>
        </w:rPr>
      </w:pPr>
      <w:r>
        <w:rPr>
          <w:color w:val="00000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color w:val="000000"/>
              </w:rPr>
            </w:pPr>
            <w:r>
              <w:rPr>
                <w:color w:val="000000"/>
              </w:rPr>
              <w:t>Transaction Type:</w:t>
            </w:r>
          </w:p>
        </w:tc>
        <w:tc>
          <w:tcPr>
            <w:tcW w:w="6408" w:type="dxa"/>
            <w:tcBorders/>
          </w:tcPr>
          <w:p>
            <w:pPr>
              <w:pStyle w:val="Normal"/>
              <w:jc w:val="both"/>
              <w:rPr>
                <w:color w:val="000000"/>
              </w:rPr>
            </w:pPr>
            <w:r>
              <w:rPr>
                <w:color w:val="000000"/>
              </w:rPr>
              <w:t>Cooling Degree Day (“CDD”) Swap</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Calculation Period:</w:t>
            </w:r>
          </w:p>
        </w:tc>
        <w:tc>
          <w:tcPr>
            <w:tcW w:w="6408" w:type="dxa"/>
            <w:tcBorders/>
          </w:tcPr>
          <w:p>
            <w:pPr>
              <w:pStyle w:val="Normal"/>
              <w:jc w:val="both"/>
              <w:rPr>
                <w:color w:val="000000"/>
              </w:rPr>
            </w:pPr>
            <w:r>
              <w:rPr>
                <w:color w:val="000000"/>
              </w:rPr>
              <w:t>The period from and including the Effective Date to and including the Termination Date.</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Date(s):</w:t>
            </w:r>
          </w:p>
        </w:tc>
        <w:tc>
          <w:tcPr>
            <w:tcW w:w="6408" w:type="dxa"/>
            <w:tcBorders/>
          </w:tcPr>
          <w:p>
            <w:pPr>
              <w:pStyle w:val="Normal"/>
              <w:jc w:val="both"/>
              <w:rPr/>
            </w:pPr>
            <w:r>
              <w:rPr>
                <w:color w:val="000000"/>
              </w:rPr>
              <w:t>The fifth Business Day after the Floating Amount for the Calculation Period is determinable,</w:t>
            </w:r>
            <w:r>
              <w:rPr>
                <w:b/>
                <w:color w:val="000000"/>
              </w:rPr>
              <w:t xml:space="preserve"> provided, however,</w:t>
            </w:r>
            <w:r>
              <w:rPr>
                <w:color w:val="000000"/>
              </w:rPr>
              <w:t xml:space="preserve"> that a one time adjustment in the amount paid will be made by the appropriate party, if applicable, if the </w:t>
            </w:r>
            <w:r>
              <w:rPr/>
              <w:t xml:space="preserve">Reporting Agency </w:t>
            </w:r>
            <w:r>
              <w:rPr>
                <w:color w:val="000000"/>
              </w:rPr>
              <w:t>makes any correction or adjustment to the reported daily maximum and minimum temperatures within 95 days of the end of the Calculation Period for any day within the Calculation Period.</w:t>
            </w:r>
          </w:p>
          <w:p>
            <w:pPr>
              <w:pStyle w:val="Normal"/>
              <w:jc w:val="both"/>
              <w:rPr>
                <w:color w:val="000000"/>
              </w:rPr>
            </w:pPr>
            <w:r>
              <w:rPr>
                <w:color w:val="000000"/>
              </w:rPr>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Fixed Amount Payer:</w:t>
            </w:r>
          </w:p>
          <w:p>
            <w:pPr>
              <w:pStyle w:val="Normal"/>
              <w:jc w:val="both"/>
              <w:rPr>
                <w:color w:val="000000"/>
              </w:rPr>
            </w:pPr>
            <w:r>
              <w:rPr>
                <w:color w:val="000000"/>
              </w:rPr>
            </w:r>
          </w:p>
        </w:tc>
        <w:tc>
          <w:tcPr>
            <w:tcW w:w="6408" w:type="dxa"/>
            <w:tcBorders/>
          </w:tcPr>
          <w:p>
            <w:pPr>
              <w:pStyle w:val="Normal"/>
              <w:jc w:val="both"/>
              <w:rPr>
                <w:color w:val="000000"/>
              </w:rPr>
            </w:pPr>
            <w:r>
              <w:rPr/>
              <w:t>(a) Enron if the terms set forth on the Website relevant to the Transaction provide that Counterparty is ‘Selling’ and (b) Counterparty if the terms set forth on the Website relevant to the Transaction provide that Counterparty is ‘Buying’.</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FF0000"/>
              </w:rPr>
            </w:pPr>
            <w:r>
              <w:rPr>
                <w:color w:val="FF0000"/>
              </w:rPr>
            </w:r>
          </w:p>
        </w:tc>
      </w:tr>
      <w:tr>
        <w:trPr/>
        <w:tc>
          <w:tcPr>
            <w:tcW w:w="3168" w:type="dxa"/>
            <w:tcBorders/>
          </w:tcPr>
          <w:p>
            <w:pPr>
              <w:pStyle w:val="Normal"/>
              <w:jc w:val="both"/>
              <w:rPr>
                <w:color w:val="000000"/>
              </w:rPr>
            </w:pPr>
            <w:r>
              <w:rPr>
                <w:color w:val="000000"/>
              </w:rPr>
              <w:t>Floating Amount Payer:</w:t>
            </w:r>
          </w:p>
          <w:p>
            <w:pPr>
              <w:pStyle w:val="Normal"/>
              <w:jc w:val="both"/>
              <w:rPr>
                <w:color w:val="000000"/>
              </w:rPr>
            </w:pPr>
            <w:r>
              <w:rPr>
                <w:color w:val="000000"/>
              </w:rPr>
            </w:r>
          </w:p>
        </w:tc>
        <w:tc>
          <w:tcPr>
            <w:tcW w:w="6408" w:type="dxa"/>
            <w:tcBorders/>
          </w:tcPr>
          <w:p>
            <w:pPr>
              <w:pStyle w:val="Normal"/>
              <w:jc w:val="both"/>
              <w:rPr>
                <w:color w:val="000000"/>
              </w:rPr>
            </w:pPr>
            <w:r>
              <w:rPr/>
              <w:t>(a) Enron if the terms set forth on the Website relevant to the Transaction provide that Counterparty is ‘Buying’ and (b) Counterparty if the terms set forth on the Website relevant to the Transaction provide that Counterparty is ‘Selling’.</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CDD’s calculated in accordance with the procedure detailed below, for each day during the applicable Calculation Period.  If more than one Reference Weather Station is specified for a Transaction, then the Floating Amount will be the weighted average of the sum of CDD’s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pPr>
            <w:r>
              <w:rPr/>
            </w:r>
          </w:p>
          <w:p>
            <w:pPr>
              <w:pStyle w:val="Normal"/>
              <w:jc w:val="both"/>
              <w:rPr/>
            </w:pPr>
            <w:r>
              <w:rPr/>
              <w:t>For a Reference Weather Station, CDD for each day is equal to the greater of (i)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minus the Reference Basis or (ii) zero.  The daily high and low temperatures measured by the Reporting Service and reported by the Reporting Agency shall be rounded to whole numbers prior to the calculation of CDDs using the Rounding Convention.</w:t>
            </w:r>
          </w:p>
          <w:p>
            <w:pPr>
              <w:pStyle w:val="Normal"/>
              <w:jc w:val="both"/>
              <w:rPr/>
            </w:pPr>
            <w:r>
              <w:rPr/>
            </w:r>
          </w:p>
          <w:p>
            <w:pPr>
              <w:pStyle w:val="Normal"/>
              <w:jc w:val="both"/>
              <w:rPr/>
            </w:pPr>
            <w:r>
              <w:rPr/>
              <w:t>The Reporting Service shall be (i) if the Reference Weather Station is in the United States, the National Weather Service (“NWS”),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[____________________________] and (iii) if the Reference Weather Station is in Norway, [_____________________________].</w:t>
            </w:r>
          </w:p>
          <w:p>
            <w:pPr>
              <w:pStyle w:val="Normal"/>
              <w:jc w:val="both"/>
              <w:rPr/>
            </w:pPr>
            <w:r>
              <w:rPr/>
            </w:r>
          </w:p>
          <w:p>
            <w:pPr>
              <w:pStyle w:val="Normal"/>
              <w:jc w:val="both"/>
              <w:rPr/>
            </w:pPr>
            <w:r>
              <w:rPr/>
              <w:t>The Reporting Agency shall be the National Climatic Data Center</w:t>
            </w:r>
            <w:r>
              <w:rPr>
                <w:color w:val="000000"/>
              </w:rPr>
              <w:t>, a unit of the National Oceanic and Atmospheric Administration Center, or its successor organization, which reports temperature information by the NWS</w:t>
            </w:r>
            <w:r>
              <w:rPr/>
              <w:t xml:space="preserve"> if the Reference Weather Station is in the United States, (ii) [_______________] if the Reference Weather Station is in the United Kingdom and (iii) [________________] if the Reference Weather Station is in Norway.</w:t>
            </w:r>
          </w:p>
          <w:p>
            <w:pPr>
              <w:pStyle w:val="Normal"/>
              <w:jc w:val="both"/>
              <w:rPr/>
            </w:pPr>
            <w:r>
              <w:rPr/>
            </w:r>
          </w:p>
          <w:p>
            <w:pPr>
              <w:pStyle w:val="Normal"/>
              <w:jc w:val="both"/>
              <w:rPr/>
            </w:pPr>
            <w:r>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pPr>
            <w:r>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pPr>
            <w:r>
              <w:rPr/>
            </w:r>
          </w:p>
          <w:p>
            <w:pPr>
              <w:pStyle w:val="Normal"/>
              <w:numPr>
                <w:ilvl w:val="0"/>
                <w:numId w:val="2"/>
              </w:numPr>
              <w:jc w:val="both"/>
              <w:rPr/>
            </w:pPr>
            <w:r>
              <w:rPr/>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numPr>
                <w:ilvl w:val="0"/>
                <w:numId w:val="2"/>
              </w:numPr>
              <w:jc w:val="both"/>
              <w:rPr/>
            </w:pPr>
            <w:r>
              <w:rPr/>
              <w:t xml:space="preserve">in accordance with the above procedures, the daily maximum or daily minimum temperature as appropriate shall be determined for the corresponding day of each of the previous 30 years at the Fallback Reference Weather Station </w:t>
            </w:r>
            <w:r>
              <w:rPr>
                <w:lang w:eastAsia="en-US"/>
              </w:rPr>
              <w:t xml:space="preserve">or in the event such data is not available, from the closest geographical location that publishes Reporting Service data for that period </w:t>
            </w:r>
            <w:r>
              <w:rPr/>
              <w:t>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numPr>
                <w:ilvl w:val="0"/>
                <w:numId w:val="2"/>
              </w:numPr>
              <w:jc w:val="both"/>
              <w:rPr/>
            </w:pP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numPr>
                <w:ilvl w:val="0"/>
                <w:numId w:val="2"/>
              </w:numPr>
              <w:jc w:val="both"/>
              <w:rPr/>
            </w:pPr>
            <w:r>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If the Reference Weather Station is in the United States, the data used to determine the Floating Amount (and to the extent required, data for the FRWS) shall be obtained from the Reporting Agency’s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Reporting Agency data is corrected or adjusted within 95 days of the end of the Calculation Period or (ii) the data is temporarily sourced from the Regional Climate Data Center, then the data for such new, adjusted or corrected number(s) shall be obtained from the Reporting Agency’s official website located at http://www4.ncdc.noaa.gov/cgi-win/wwcgi.dll?WWNolos~Product~PB-078.  Notwithstanding the foregoing, if neither the Regional Climate Data Center nor the Reproting Agency issues data for the RWS, then the procedures set forth under “Fallback Reference Weather Station(s)” shall be utilized to determine the missing data.</w:t>
            </w:r>
          </w:p>
          <w:p>
            <w:pPr>
              <w:pStyle w:val="Normal"/>
              <w:jc w:val="both"/>
              <w:rPr/>
            </w:pPr>
            <w:r>
              <w:rPr/>
            </w:r>
          </w:p>
        </w:tc>
      </w:tr>
      <w:tr>
        <w:trPr/>
        <w:tc>
          <w:tcPr>
            <w:tcW w:w="3168" w:type="dxa"/>
            <w:tcBorders/>
          </w:tcPr>
          <w:p>
            <w:pPr>
              <w:pStyle w:val="Normal"/>
              <w:jc w:val="both"/>
              <w:rPr>
                <w:color w:val="000000"/>
              </w:rPr>
            </w:pPr>
            <w:r>
              <w:rPr>
                <w:color w:val="000000"/>
              </w:rPr>
              <w:t>Strike Amount Differential:</w:t>
            </w:r>
          </w:p>
        </w:tc>
        <w:tc>
          <w:tcPr>
            <w:tcW w:w="6408" w:type="dxa"/>
            <w:tcBorders/>
          </w:tcPr>
          <w:p>
            <w:pPr>
              <w:pStyle w:val="Normal"/>
              <w:jc w:val="both"/>
              <w:rPr>
                <w:color w:val="000000"/>
              </w:rPr>
            </w:pPr>
            <w:r>
              <w:rPr>
                <w:color w:val="000000"/>
              </w:rPr>
              <w:t>The amount equal to the difference between the (i) the Floating Amount minus (ii) the Strike Amount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Amount:</w:t>
            </w:r>
          </w:p>
        </w:tc>
        <w:tc>
          <w:tcPr>
            <w:tcW w:w="6408" w:type="dxa"/>
            <w:tcBorders/>
          </w:tcPr>
          <w:p>
            <w:pPr>
              <w:pStyle w:val="Normal"/>
              <w:keepNext w:val="true"/>
              <w:keepLines/>
              <w:jc w:val="both"/>
              <w:rPr>
                <w:color w:val="000000"/>
              </w:rPr>
            </w:pPr>
            <w:r>
              <w:rPr>
                <w:color w:val="000000"/>
              </w:rPr>
              <w:t>Notwithstanding any provision of the Agreement to the contrary, if the Strike Amount Differential is a:</w:t>
            </w:r>
          </w:p>
          <w:p>
            <w:pPr>
              <w:pStyle w:val="Normal"/>
              <w:keepNext w:val="true"/>
              <w:keepLines/>
              <w:jc w:val="both"/>
              <w:rPr/>
            </w:pPr>
            <w:r>
              <w:rPr>
                <w:color w:val="000000"/>
              </w:rPr>
              <w:t>(i) positive number, the Floating Amount Payer shall pay the Fixed Amount Payer an amount in the Contractual Currency</w:t>
            </w:r>
            <w:r>
              <w:rPr>
                <w:color w:val="FF0000"/>
              </w:rPr>
              <w:t xml:space="preserve">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that the maximum amount payable by the Floating Amount Payer shall not exceed Maximum Payout Limit,</w:t>
            </w:r>
            <w:r>
              <w:rPr>
                <w:color w:val="FF0000"/>
              </w:rPr>
              <w:t xml:space="preserve"> </w:t>
            </w:r>
            <w:r>
              <w:rPr/>
              <w:t xml:space="preserve">or </w:t>
            </w:r>
          </w:p>
          <w:p>
            <w:pPr>
              <w:pStyle w:val="Normal"/>
              <w:keepNext w:val="true"/>
              <w:keepLines/>
              <w:jc w:val="both"/>
              <w:rPr/>
            </w:pPr>
            <w:r>
              <w:rPr/>
              <w:t xml:space="preserve">(ii) negative number, the Fixed Amount Payer shall pay the Floating Amount Payer an absolute amount in the Contractual Currency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that the maximum amount payable by the Fixed Amount Payer shall not exceed Maximum Payout Limit.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keepNext w:val="true"/>
              <w:keepLines/>
              <w:snapToGrid w:val="false"/>
              <w:jc w:val="both"/>
              <w:rPr>
                <w:color w:val="000000"/>
              </w:rPr>
            </w:pPr>
            <w:r>
              <w:rPr>
                <w:color w:val="000000"/>
              </w:rPr>
            </w:r>
          </w:p>
        </w:tc>
      </w:tr>
    </w:tbl>
    <w:p>
      <w:pPr>
        <w:pStyle w:val="Normal"/>
        <w:jc w:val="both"/>
        <w:rPr/>
      </w:pPr>
      <w:r>
        <w:rPr/>
        <w:t>3.</w:t>
        <w:tab/>
      </w:r>
      <w:r>
        <w:rPr>
          <w:b/>
          <w:u w:val="single"/>
        </w:rPr>
        <w:t>General</w:t>
      </w:r>
      <w:r>
        <w:rPr>
          <w:b/>
        </w:rPr>
        <w:t>.</w:t>
      </w:r>
      <w:r>
        <w:rPr/>
        <w:t xml:space="preserve">  The Transaction is subject to the terms and conditions of the printed form of the 1992 Master Agreement (Multicurrency-Cross Border) published by ISDA without any schedule (the “ISDA Form”) as modified by this GTC (“ISDA Agreement”).  Each party acknowledges that it has a copy of the ISDA Agreement and it has read and understands the terms and conditions thereof.  In the event of any inconsistency among or between the ISDA Agreement, the Definitions (as defined above), and this GTC, this GTC will govern.  In addition, Enron and Counterparty agree to promptly negotiate in good faith and enter into a master agreement as soon as reasonably possible in the form of the ISDA Agreement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the Transaction shall be governed by the terms and conditions of the ISDA Form as modified by this GTC.</w:t>
      </w:r>
    </w:p>
    <w:p>
      <w:pPr>
        <w:pStyle w:val="Normal"/>
        <w:jc w:val="both"/>
        <w:rPr/>
      </w:pPr>
      <w:r>
        <w:rPr/>
      </w:r>
    </w:p>
    <w:p>
      <w:pPr>
        <w:pStyle w:val="Normal"/>
        <w:jc w:val="both"/>
        <w:rPr/>
      </w:pPr>
      <w:r>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t>.  To induce the other to enter into the Transaction, each party represents and warrants to the other that :</w:t>
      </w:r>
      <w:r>
        <w:rPr>
          <w:rFonts w:cs="Arial Narrow" w:ascii="Arial Narrow" w:hAnsi="Arial Narrow"/>
        </w:rPr>
        <w:t xml:space="preserve"> </w:t>
      </w:r>
      <w:r>
        <w:rPr/>
        <w:t xml:space="preserve">(a) </w:t>
      </w:r>
      <w:r>
        <w:rPr>
          <w:u w:val="single"/>
        </w:rPr>
        <w:t>Authority</w:t>
      </w:r>
      <w:r>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(b) </w:t>
      </w:r>
      <w:r>
        <w:rPr>
          <w:u w:val="single"/>
        </w:rPr>
        <w:t>Eligible Swap Participant</w:t>
      </w:r>
      <w:r>
        <w:rPr/>
        <w:t xml:space="preserve">: it constitutes an “eligible swap participant” as such term is defined in  17 C.F.R. Section 35.1(b)(2) and this Transaction constitutes a “swap agreement” within the meaning of 17 C.F.R. Section 35.1(b)(1);  (c) </w:t>
      </w:r>
      <w:r>
        <w:rPr>
          <w:u w:val="single"/>
        </w:rPr>
        <w:t>Line of Business</w:t>
      </w:r>
      <w:r>
        <w:rPr/>
        <w:t xml:space="preserve">: Enron and Counterparty each represent that as of the Trade Date it is: (i) exposed in the conduct of its business to the risk of variations in temperature of the kind reflected in this Transaction and (ii) entering into this Transaction solely to offset or manage that risk; and (d) </w:t>
      </w:r>
      <w:r>
        <w:rPr>
          <w:u w:val="single"/>
        </w:rPr>
        <w:t>No Reliance and No Advisory Status</w:t>
      </w:r>
      <w:r>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
    </w:p>
    <w:p>
      <w:pPr>
        <w:pStyle w:val="Normal"/>
        <w:jc w:val="both"/>
        <w:rPr/>
      </w:pPr>
      <w:r>
        <w:rPr/>
        <w:t>5.</w:t>
        <w:tab/>
      </w:r>
      <w:r>
        <w:rPr>
          <w:b/>
          <w:u w:val="single"/>
        </w:rPr>
        <w:t>Early Termination.</w:t>
      </w:r>
      <w:r>
        <w:rPr/>
        <w:t xml:space="preserve"> For purposes of Section 6(e) of the ISDA Agreement, the Second Method and Loss shall apply.</w:t>
      </w:r>
    </w:p>
    <w:p>
      <w:pPr>
        <w:pStyle w:val="Normal"/>
        <w:jc w:val="both"/>
        <w:rPr/>
      </w:pPr>
      <w:r>
        <w:rPr/>
      </w:r>
    </w:p>
    <w:p>
      <w:pPr>
        <w:pStyle w:val="Normal"/>
        <w:tabs>
          <w:tab w:val="clear" w:pos="720"/>
          <w:tab w:val="left" w:pos="360" w:leader="none"/>
        </w:tabs>
        <w:jc w:val="both"/>
        <w:rPr/>
      </w:pPr>
      <w:r>
        <w:rPr/>
        <w:t>6.</w:t>
        <w:tab/>
        <w:tab/>
      </w:r>
      <w:r>
        <w:rPr>
          <w:b/>
          <w:u w:val="single"/>
        </w:rPr>
        <w:t>Governing Law/Jurisdiction</w:t>
      </w:r>
      <w:r>
        <w:rPr>
          <w:b/>
        </w:rPr>
        <w:t>.</w:t>
      </w:r>
      <w:r>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 </w:t>
      </w:r>
    </w:p>
    <w:p>
      <w:pPr>
        <w:pStyle w:val="Normal"/>
        <w:jc w:val="both"/>
        <w:rPr/>
      </w:pPr>
      <w:r>
        <w:rPr/>
      </w:r>
    </w:p>
    <w:p>
      <w:pPr>
        <w:pStyle w:val="Normal"/>
        <w:jc w:val="both"/>
        <w:rPr/>
      </w:pPr>
      <w:r>
        <w:rPr/>
        <w:t>7.</w:t>
        <w:tab/>
      </w:r>
      <w:r>
        <w:rPr>
          <w:b/>
          <w:u w:val="single"/>
        </w:rPr>
        <w:t>Confidentiality</w:t>
      </w:r>
      <w:r>
        <w:rPr>
          <w:b/>
        </w:rPr>
        <w:t>.</w:t>
      </w:r>
      <w:r>
        <w:rPr/>
        <w:t xml:space="preserve">  The contents of this GTC,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auditors, attorneys, or advisors which are required to keep the information that is disclosed in confidence.</w:t>
      </w:r>
    </w:p>
    <w:p>
      <w:pPr>
        <w:pStyle w:val="Normal"/>
        <w:jc w:val="both"/>
        <w:rPr/>
      </w:pPr>
      <w:r>
        <w:rPr/>
      </w:r>
    </w:p>
    <w:p>
      <w:pPr>
        <w:pStyle w:val="Normal"/>
        <w:jc w:val="both"/>
        <w:rPr/>
      </w:pPr>
      <w:r>
        <w:rPr/>
        <w:t>8.</w:t>
        <w:tab/>
      </w:r>
      <w:r>
        <w:rPr>
          <w:b/>
          <w:u w:val="single"/>
        </w:rPr>
        <w:t>Calculation Agent</w:t>
      </w:r>
      <w:r>
        <w:rPr>
          <w:b/>
        </w:rPr>
        <w:t>.</w:t>
      </w:r>
      <w:r>
        <w:rPr/>
        <w:t xml:space="preserve">  The Calculation Agent shall be Enron.</w:t>
      </w:r>
    </w:p>
    <w:p>
      <w:pPr>
        <w:pStyle w:val="Normal"/>
        <w:jc w:val="both"/>
        <w:rPr/>
      </w:pPr>
      <w:r>
        <w:rPr/>
      </w:r>
    </w:p>
    <w:p>
      <w:pPr>
        <w:pStyle w:val="Normal"/>
        <w:tabs>
          <w:tab w:val="left" w:pos="720" w:leader="none"/>
          <w:tab w:val="left" w:pos="810" w:leader="none"/>
        </w:tabs>
        <w:jc w:val="both"/>
        <w:rPr>
          <w:rFonts w:ascii="Arial Narrow" w:hAnsi="Arial Narrow" w:cs="Arial Narrow"/>
        </w:rPr>
      </w:pPr>
      <w:r>
        <w:rPr/>
        <w:t>9.</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jc w:val="both"/>
        <w:rPr/>
      </w:pPr>
      <w:r>
        <w:rPr/>
        <w:t>10.</w:t>
        <w:tab/>
      </w:r>
      <w:r>
        <w:rPr>
          <w:b/>
          <w:u w:val="single"/>
        </w:rPr>
        <w:t>Setoff</w:t>
      </w:r>
      <w:r>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Derivative Transactions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
    </w:p>
    <w:p>
      <w:pPr>
        <w:pStyle w:val="Normal"/>
        <w:tabs>
          <w:tab w:val="clear" w:pos="720"/>
          <w:tab w:val="left" w:pos="810" w:leader="none"/>
          <w:tab w:val="left" w:pos="1170" w:leader="none"/>
        </w:tabs>
        <w:jc w:val="both"/>
        <w:rPr/>
      </w:pPr>
      <w:r>
        <w:rPr/>
        <w:t>11.</w:t>
        <w:tab/>
      </w:r>
      <w:r>
        <w:rPr>
          <w:b/>
          <w:u w:val="single"/>
        </w:rPr>
        <w:t>Collateral Arrangements.</w:t>
      </w:r>
      <w:r>
        <w:rPr>
          <w:b/>
        </w:rPr>
        <w:t xml:space="preserve"> </w:t>
      </w:r>
      <w:r>
        <w:rPr/>
        <w:t>Counterparty shall (at Enron’s request)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parent company guarantee in such form and for such amount as is acceptable to Enron in its absolute discretion.  Failure so to provide such letter of credit or parent company guaranty shall constitute a default hereunder giving rise to the immediate right of termination by Enron under this GTC.</w:t>
      </w:r>
    </w:p>
    <w:p>
      <w:pPr>
        <w:pStyle w:val="Normal"/>
        <w:jc w:val="both"/>
        <w:rPr/>
      </w:pPr>
      <w:r>
        <w:rPr/>
      </w:r>
    </w:p>
    <w:p>
      <w:pPr>
        <w:pStyle w:val="Normal"/>
        <w:spacing w:lineRule="exact" w:line="240" w:before="240" w:after="0"/>
        <w:jc w:val="both"/>
        <w:rPr/>
      </w:pPr>
      <w:r>
        <w:rPr/>
      </w:r>
    </w:p>
    <w:sectPr>
      <w:footerReference w:type="default" r:id="rId2"/>
      <w:type w:val="nextPage"/>
      <w:pgSz w:w="12240" w:h="15840"/>
      <w:pgMar w:left="1008" w:right="1008" w:gutter="0" w:header="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p>
    <w:pPr>
      <w:pStyle w:val="Footer"/>
      <w:rPr>
        <w:rStyle w:val="PageNumber"/>
        <w:sz w:val="1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4"/>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 w:hAnsi="Tms Rmn" w:cs="Tms Rm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style>
  <w:style w:type="character" w:styleId="WW8Num12z0">
    <w:name w:val="WW8Num12z0"/>
    <w:qFormat/>
    <w:rPr>
      <w:b/>
    </w:rPr>
  </w:style>
  <w:style w:type="character" w:styleId="WW8Num13z0">
    <w:name w:val="WW8Num13z0"/>
    <w:qFormat/>
    <w:rPr>
      <w:b/>
    </w:rPr>
  </w:style>
  <w:style w:type="character" w:styleId="WW8Num15z0">
    <w:name w:val="WW8Num15z0"/>
    <w:qFormat/>
    <w:rPr>
      <w:b/>
      <w:u w:val="single"/>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 w:hAnsi="Tms Rmn" w:cs="Tms Rmn"/>
      <w:vanish/>
      <w:color w:val="FF0000"/>
      <w:sz w:val="22"/>
    </w:rPr>
  </w:style>
  <w:style w:type="paragraph" w:styleId="Expanded">
    <w:name w:val="Expanded"/>
    <w:basedOn w:val="Normal"/>
    <w:next w:val="Normal"/>
    <w:qFormat/>
    <w:pPr>
      <w:spacing w:before="0" w:after="240"/>
      <w:jc w:val="center"/>
    </w:pPr>
    <w:rPr>
      <w:rFonts w:ascii="Tms Rmn" w:hAnsi="Tms Rmn" w:cs="Tms Rmn"/>
      <w:b/>
      <w:caps/>
      <w:spacing w:val="60"/>
      <w:sz w:val="22"/>
    </w:rPr>
  </w:style>
  <w:style w:type="paragraph" w:styleId="Justified">
    <w:name w:val="Justified"/>
    <w:basedOn w:val="Normal"/>
    <w:next w:val="Heading2"/>
    <w:qFormat/>
    <w:pPr>
      <w:spacing w:before="0" w:after="120"/>
      <w:jc w:val="both"/>
    </w:pPr>
    <w:rPr>
      <w:rFonts w:ascii="Tms Rmn" w:hAnsi="Tms Rmn" w:cs="Tms Rm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1999-08-15T17:22:00Z</dcterms:created>
  <dc:creator>ECT</dc:creator>
  <dc:description/>
  <dc:language>en-CA</dc:language>
  <cp:lastModifiedBy>mtaylo1</cp:lastModifiedBy>
  <cp:lastPrinted>1999-08-15T14:32:00Z</cp:lastPrinted>
  <dcterms:modified xsi:type="dcterms:W3CDTF">1999-08-15T17:40:00Z</dcterms:modified>
  <cp:revision>3</cp:revision>
  <dc:subject/>
  <dc:title>“DEEMED ISDA” CONFIRMATION</dc:title>
</cp:coreProperties>
</file>