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CDD SWAP</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Cooling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Definitons) are used with the meanings given on the website which makes reference to this GTC (the “Website”).</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Cooling Degree Day (“CDD”)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w:t>
            </w:r>
            <w:r>
              <w:rPr/>
              <w:t xml:space="preserve">Reporting Agency </w:t>
            </w:r>
            <w:r>
              <w:rPr>
                <w:color w:val="000000"/>
              </w:rPr>
              <w:t>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CDD for each day is equal to the greater of (i)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minus the Reference Basis or (ii) zero.  The daily high and low temperatures measured by the Reporting Service and reported by the Reporting Agency shall be rounded to whole numbers prior to the calculation of CDDs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pPr>
            <w:r>
              <w:rPr/>
            </w:r>
          </w:p>
          <w:p>
            <w:pPr>
              <w:pStyle w:val="Normal"/>
              <w:jc w:val="both"/>
              <w:rPr/>
            </w:pPr>
            <w:r>
              <w:rPr/>
              <w:t>The Reporting Agency shall be the National Climatic Data Center</w:t>
            </w:r>
            <w:r>
              <w:rPr>
                <w:color w:val="000000"/>
              </w:rPr>
              <w:t>, a unit of the National Oceanic and Atmospheric Administration Center, or its successor organization, which reports temperature information by the NWS</w:t>
            </w:r>
            <w:r>
              <w:rPr/>
              <w:t xml:space="preserve"> if the Reference Weather Station is in the United States, and (ii) the Reporting Service if the Reference Weather Station is in the United Kingdom, France or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 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p>
            <w:pPr>
              <w:pStyle w:val="Normal"/>
              <w:jc w:val="both"/>
              <w:rPr/>
            </w:pPr>
            <w:r>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the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(i) positive number, the Floating Amount Payer shall pay the Fixed Amount Payer an amount in the Contractual Currency</w:t>
            </w:r>
            <w:r>
              <w:rPr>
                <w:color w:val="FF0000"/>
              </w:rPr>
              <w:t xml:space="preserve">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Floating Amount Payer shall not exceed Maximum Payout Limit,</w:t>
            </w:r>
            <w:r>
              <w:rPr>
                <w:color w:val="FF0000"/>
              </w:rPr>
              <w:t xml:space="preserve"> </w:t>
            </w:r>
            <w:r>
              <w:rPr/>
              <w:t xml:space="preserve">or </w:t>
            </w:r>
          </w:p>
          <w:p>
            <w:pPr>
              <w:pStyle w:val="Normal"/>
              <w:keepNext w:val="true"/>
              <w:keepLines/>
              <w:jc w:val="both"/>
              <w:rPr/>
            </w:pPr>
            <w:r>
              <w:rPr/>
              <w:t xml:space="preserve">(ii) negative number, the Fixed Amount Payer shall pay the Floating Amount Payer an absolute amount in the Contractual Currency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Fixed Amount Payer shall not exceed Maximum Payout Limit.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Normal"/>
        <w:jc w:val="both"/>
        <w:rPr/>
      </w:pPr>
      <w:r>
        <w:rPr/>
        <w:t>3.</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GTC (“ISDA Agreement”).  Each party acknowledges that it has a copy of the ISDA Agreement and it has read and understands the terms and conditions thereof.  In the event of any inconsistency among or between the ISDA Agreement, the Definitions (as defined above), and this GTC, this GTC will govern.  In addition, Enron and Counterparty agree to promptly negotiate in good faith and enter into a master agreement as soon as reasonably possible in the form of the ISDA Agreement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the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are made for the purpose of Section 3(f) of the ISDA Agreement (Payee Tax Representations).</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Enron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 </w:t>
      </w:r>
    </w:p>
    <w:p>
      <w:pPr>
        <w:pStyle w:val="Normal"/>
        <w:jc w:val="both"/>
        <w:rPr/>
      </w:pPr>
      <w:r>
        <w:rPr/>
      </w:r>
    </w:p>
    <w:p>
      <w:pPr>
        <w:pStyle w:val="Normal"/>
        <w:jc w:val="both"/>
        <w:rPr/>
      </w:pPr>
      <w:r>
        <w:rPr/>
        <w:t>7.</w:t>
        <w:tab/>
      </w:r>
      <w:r>
        <w:rPr>
          <w:b/>
          <w:u w:val="single"/>
        </w:rPr>
        <w:t>Confidentiality</w:t>
      </w:r>
      <w:r>
        <w:rPr>
          <w:b/>
        </w:rPr>
        <w:t>.</w:t>
      </w:r>
      <w:r>
        <w:rPr/>
        <w:t xml:space="preserve">  The contents of this GTC,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9.</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10.</w:t>
        <w:tab/>
      </w:r>
      <w:r>
        <w:rPr>
          <w:b/>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
    </w:p>
    <w:p>
      <w:pPr>
        <w:pStyle w:val="Normal"/>
        <w:tabs>
          <w:tab w:val="clear" w:pos="720"/>
          <w:tab w:val="left" w:pos="810" w:leader="none"/>
          <w:tab w:val="left" w:pos="1170" w:leader="none"/>
        </w:tabs>
        <w:jc w:val="both"/>
        <w:rPr/>
      </w:pPr>
      <w:r>
        <w:rPr/>
        <w:t>11.</w:t>
        <w:tab/>
      </w:r>
      <w:r>
        <w:rPr>
          <w:b/>
          <w:u w:val="single"/>
        </w:rPr>
        <w:t>Collateral Arrangements.</w:t>
      </w:r>
      <w:r>
        <w:rPr>
          <w:b/>
        </w:rPr>
        <w:t xml:space="preserve"> </w:t>
      </w:r>
      <w:r>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guaranty shall constitute a default hereunder giving rise to the immediate right of termination by Enron under this GTC.</w:t>
      </w:r>
    </w:p>
    <w:p>
      <w:pPr>
        <w:pStyle w:val="Normal"/>
        <w:jc w:val="both"/>
        <w:rPr/>
      </w:pPr>
      <w:r>
        <w:rPr/>
      </w:r>
    </w:p>
    <w:p>
      <w:pPr>
        <w:pStyle w:val="Normal"/>
        <w:spacing w:lineRule="exact" w:line="240" w:before="240" w:after="0"/>
        <w:jc w:val="both"/>
        <w:rPr/>
      </w:pPr>
      <w:r>
        <w:rPr/>
      </w:r>
    </w:p>
    <w:sectPr>
      <w:footerReference w:type="default" r:id="rId2"/>
      <w:type w:val="nextPage"/>
      <w:pgSz w:w="12240" w:h="15840"/>
      <w:pgMar w:left="1008" w:right="1008" w:gutter="0" w:header="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p>
    <w:pPr>
      <w:pStyle w:val="Footer"/>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5z0">
    <w:name w:val="WW8Num15z0"/>
    <w:qFormat/>
    <w:rPr>
      <w:b/>
      <w:u w:val="single"/>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1999-08-25T20:26:00Z</dcterms:created>
  <dc:creator>ECT</dc:creator>
  <dc:description/>
  <dc:language>en-CA</dc:language>
  <cp:lastModifiedBy>tjones</cp:lastModifiedBy>
  <cp:lastPrinted>1999-08-15T14:32:00Z</cp:lastPrinted>
  <dcterms:modified xsi:type="dcterms:W3CDTF">1999-08-25T21:07:00Z</dcterms:modified>
  <cp:revision>10</cp:revision>
  <dc:subject/>
  <dc:title>“DEEMED ISDA” CONFIRMATION</dc:title>
</cp:coreProperties>
</file>