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w:t>
      </w:r>
    </w:p>
    <w:p>
      <w:pPr>
        <w:pStyle w:val="Normal"/>
        <w:jc w:val="center"/>
        <w:rPr/>
      </w:pPr>
      <w:r>
        <w:rPr/>
      </w:r>
    </w:p>
    <w:p>
      <w:pPr>
        <w:pStyle w:val="Normal"/>
        <w:jc w:val="center"/>
        <w:rPr/>
      </w:pPr>
      <w:r>
        <w:rPr/>
        <w:t>CDD SWAP</w:t>
      </w:r>
    </w:p>
    <w:p>
      <w:pPr>
        <w:pStyle w:val="Normal"/>
        <w:jc w:val="center"/>
        <w:rPr/>
      </w:pPr>
      <w:r>
        <w:rPr/>
        <w:t>GENERAL TERMS AND CONDITIONS (“GTC”)</w:t>
      </w:r>
    </w:p>
    <w:p>
      <w:pPr>
        <w:pStyle w:val="Normal"/>
        <w:jc w:val="center"/>
        <w:rPr/>
      </w:pPr>
      <w:r>
        <w:rPr/>
      </w:r>
    </w:p>
    <w:p>
      <w:pPr>
        <w:pStyle w:val="Normal"/>
        <w:jc w:val="both"/>
        <w:rPr/>
      </w:pPr>
      <w:r>
        <w:rPr/>
      </w:r>
    </w:p>
    <w:p>
      <w:pPr>
        <w:pStyle w:val="Normal"/>
        <w:jc w:val="both"/>
        <w:rPr/>
      </w:pPr>
      <w:r>
        <w:rPr/>
      </w:r>
    </w:p>
    <w:p>
      <w:pPr>
        <w:pStyle w:val="Normal"/>
        <w:jc w:val="both"/>
        <w:rPr/>
      </w:pPr>
      <w:r>
        <w:rPr/>
        <w:t>1.</w:t>
        <w:tab/>
        <w:t>Until a relevant master agreement is executed between you (“Counterparty”) and Enron North America Corp. (“Enron”), this GTC will set forth the general terms and conditions governing all Cooling Degree Day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Capitalized terms used herein but not defined herein (or in the Definitons) are used with the meanings given on the website which makes reference to this GTC (the “Website”).</w:t>
      </w:r>
    </w:p>
    <w:p>
      <w:pPr>
        <w:pStyle w:val="Normal"/>
        <w:jc w:val="both"/>
        <w:rPr>
          <w:color w:val="000000"/>
        </w:rPr>
      </w:pPr>
      <w:r>
        <w:rPr>
          <w:color w:val="000000"/>
        </w:rPr>
      </w:r>
    </w:p>
    <w:p>
      <w:pPr>
        <w:pStyle w:val="Normal"/>
        <w:numPr>
          <w:ilvl w:val="0"/>
          <w:numId w:val="3"/>
        </w:numPr>
        <w:tabs>
          <w:tab w:val="clear" w:pos="720"/>
          <w:tab w:val="left" w:pos="900" w:leader="none"/>
        </w:tabs>
        <w:jc w:val="both"/>
        <w:rPr>
          <w:color w:val="000000"/>
        </w:rPr>
      </w:pPr>
      <w:r>
        <w:rPr>
          <w:b/>
          <w:color w:val="000000"/>
          <w:u w:val="single"/>
        </w:rPr>
        <w:t>Terms of Transaction.</w:t>
      </w:r>
      <w:r>
        <w:rPr>
          <w:b/>
          <w:color w:val="000000"/>
        </w:rPr>
        <w:t xml:space="preserve">  </w:t>
      </w:r>
      <w:r>
        <w:rPr>
          <w:color w:val="000000"/>
        </w:rPr>
        <w:t>The terms of the particular Transaction to which this Confirmation relates are as follows:</w:t>
      </w:r>
    </w:p>
    <w:p>
      <w:pPr>
        <w:pStyle w:val="Normal"/>
        <w:jc w:val="both"/>
        <w:rPr>
          <w:color w:val="000000"/>
        </w:rPr>
      </w:pPr>
      <w:r>
        <w:rPr>
          <w:color w:val="000000"/>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color w:val="000000"/>
              </w:rPr>
            </w:pPr>
            <w:r>
              <w:rPr>
                <w:color w:val="000000"/>
              </w:rPr>
              <w:t>Transaction Type:</w:t>
            </w:r>
          </w:p>
        </w:tc>
        <w:tc>
          <w:tcPr>
            <w:tcW w:w="6408" w:type="dxa"/>
            <w:tcBorders/>
          </w:tcPr>
          <w:p>
            <w:pPr>
              <w:pStyle w:val="Normal"/>
              <w:jc w:val="both"/>
              <w:rPr>
                <w:color w:val="000000"/>
              </w:rPr>
            </w:pPr>
            <w:r>
              <w:rPr>
                <w:color w:val="000000"/>
              </w:rPr>
              <w:t>Cooling Degree Day (“CDD”) Swap</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Calculation Period:</w:t>
            </w:r>
          </w:p>
        </w:tc>
        <w:tc>
          <w:tcPr>
            <w:tcW w:w="6408" w:type="dxa"/>
            <w:tcBorders/>
          </w:tcPr>
          <w:p>
            <w:pPr>
              <w:pStyle w:val="Normal"/>
              <w:jc w:val="both"/>
              <w:rPr>
                <w:color w:val="000000"/>
              </w:rPr>
            </w:pPr>
            <w:r>
              <w:rPr>
                <w:color w:val="000000"/>
              </w:rPr>
              <w:t>The period from and including the Effective Date to and including the Termination Date.</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Date(s):</w:t>
            </w:r>
          </w:p>
        </w:tc>
        <w:tc>
          <w:tcPr>
            <w:tcW w:w="6408" w:type="dxa"/>
            <w:tcBorders/>
          </w:tcPr>
          <w:p>
            <w:pPr>
              <w:pStyle w:val="Normal"/>
              <w:jc w:val="both"/>
              <w:rPr/>
            </w:pPr>
            <w:r>
              <w:rPr>
                <w:color w:val="000000"/>
              </w:rPr>
              <w:t>The fifth Business Day after the Floating Amount for the Calculation Period is determinable,</w:t>
            </w:r>
            <w:r>
              <w:rPr>
                <w:b/>
                <w:color w:val="000000"/>
              </w:rPr>
              <w:t xml:space="preserve"> provided, however,</w:t>
            </w:r>
            <w:r>
              <w:rPr>
                <w:color w:val="000000"/>
              </w:rPr>
              <w:t xml:space="preserve"> that a one time adjustment in the amount paid will be made by the appropriate party, if applicable, if the </w:t>
            </w:r>
            <w:r>
              <w:rPr/>
              <w:t xml:space="preserve">Reporting Agency </w:t>
            </w:r>
            <w:r>
              <w:rPr>
                <w:color w:val="000000"/>
              </w:rPr>
              <w:t>makes any correction or adjustment to the reported daily maximum and minimum temperatures within 95 days of the end of the Calculation Period for any day within the Calculation Period.</w:t>
            </w:r>
          </w:p>
          <w:p>
            <w:pPr>
              <w:pStyle w:val="Normal"/>
              <w:jc w:val="both"/>
              <w:rPr>
                <w:color w:val="000000"/>
              </w:rPr>
            </w:pPr>
            <w:r>
              <w:rPr>
                <w:color w:val="000000"/>
              </w:rPr>
            </w:r>
          </w:p>
          <w:p>
            <w:pPr>
              <w:pStyle w:val="Normal"/>
              <w:jc w:val="both"/>
              <w:rPr>
                <w:color w:val="000000"/>
              </w:rPr>
            </w:pPr>
            <w:r>
              <w:rPr>
                <w:color w:val="000000"/>
              </w:rPr>
            </w:r>
          </w:p>
        </w:tc>
      </w:tr>
      <w:tr>
        <w:trPr/>
        <w:tc>
          <w:tcPr>
            <w:tcW w:w="3168" w:type="dxa"/>
            <w:tcBorders/>
          </w:tcPr>
          <w:p>
            <w:pPr>
              <w:pStyle w:val="Normal"/>
              <w:jc w:val="both"/>
              <w:rPr>
                <w:color w:val="000000"/>
              </w:rPr>
            </w:pPr>
            <w:r>
              <w:rPr>
                <w:color w:val="000000"/>
              </w:rPr>
              <w:t>Fixed Amount Payer:</w:t>
            </w:r>
          </w:p>
          <w:p>
            <w:pPr>
              <w:pStyle w:val="Normal"/>
              <w:jc w:val="both"/>
              <w:rPr>
                <w:color w:val="000000"/>
              </w:rPr>
            </w:pPr>
            <w:r>
              <w:rPr>
                <w:color w:val="000000"/>
              </w:rPr>
            </w:r>
          </w:p>
        </w:tc>
        <w:tc>
          <w:tcPr>
            <w:tcW w:w="6408" w:type="dxa"/>
            <w:tcBorders/>
          </w:tcPr>
          <w:p>
            <w:pPr>
              <w:pStyle w:val="Normal"/>
              <w:jc w:val="both"/>
              <w:rPr>
                <w:color w:val="000000"/>
              </w:rPr>
            </w:pPr>
            <w:r>
              <w:rPr/>
              <w:t>(a) Enron if the terms set forth on the Website relevant to the Transaction provide that Counterparty is ‘Selling’ and (b) Counterparty if the terms set forth on the Website relevant to the Transaction provide that Counterparty is ‘Buying’.</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FF0000"/>
              </w:rPr>
            </w:pPr>
            <w:r>
              <w:rPr>
                <w:color w:val="FF0000"/>
              </w:rPr>
            </w:r>
          </w:p>
        </w:tc>
      </w:tr>
      <w:tr>
        <w:trPr/>
        <w:tc>
          <w:tcPr>
            <w:tcW w:w="3168" w:type="dxa"/>
            <w:tcBorders/>
          </w:tcPr>
          <w:p>
            <w:pPr>
              <w:pStyle w:val="Normal"/>
              <w:jc w:val="both"/>
              <w:rPr>
                <w:color w:val="000000"/>
              </w:rPr>
            </w:pPr>
            <w:r>
              <w:rPr>
                <w:color w:val="000000"/>
              </w:rPr>
              <w:t>Floating Amount Payer:</w:t>
            </w:r>
          </w:p>
          <w:p>
            <w:pPr>
              <w:pStyle w:val="Normal"/>
              <w:jc w:val="both"/>
              <w:rPr>
                <w:color w:val="000000"/>
              </w:rPr>
            </w:pPr>
            <w:r>
              <w:rPr>
                <w:color w:val="000000"/>
              </w:rPr>
            </w:r>
          </w:p>
        </w:tc>
        <w:tc>
          <w:tcPr>
            <w:tcW w:w="6408" w:type="dxa"/>
            <w:tcBorders/>
          </w:tcPr>
          <w:p>
            <w:pPr>
              <w:pStyle w:val="Normal"/>
              <w:jc w:val="both"/>
              <w:rPr>
                <w:color w:val="000000"/>
              </w:rPr>
            </w:pPr>
            <w:r>
              <w:rPr/>
              <w:t>(a) Enron if the terms set forth on the Website relevant to the Transaction provide that Counterparty is ‘Buying’ and (b) Counterparty if the terms set forth on the Website relevant to the Transaction provide that Counterparty is ‘Selling’.</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pPr>
            <w:r>
              <w:rPr/>
              <w:t>Floating Amount:</w:t>
            </w:r>
          </w:p>
        </w:tc>
        <w:tc>
          <w:tcPr>
            <w:tcW w:w="6408" w:type="dxa"/>
            <w:tcBorders/>
          </w:tcPr>
          <w:p>
            <w:pPr>
              <w:pStyle w:val="Normal"/>
              <w:jc w:val="both"/>
              <w:rPr/>
            </w:pPr>
            <w:r>
              <w:rPr/>
              <w:t>The sum of CDD’s calculated in accordance with the procedure detailed below, for each day during the applicable Calculation Period.  If more than one Reference Weather Station is specified for a Transaction, then the Floating Amount will be the weighted average of the sum of CDD’s for each such Reference Weather Station during the applicable Calculation Period using the percentage set forth next to such Reference Weather Station for weighting.  If no percentage is so specified, then the weighting shall be equal.</w:t>
            </w:r>
          </w:p>
          <w:p>
            <w:pPr>
              <w:pStyle w:val="Normal"/>
              <w:jc w:val="both"/>
              <w:rPr/>
            </w:pPr>
            <w:r>
              <w:rPr/>
            </w:r>
          </w:p>
          <w:p>
            <w:pPr>
              <w:pStyle w:val="Normal"/>
              <w:jc w:val="both"/>
              <w:rPr/>
            </w:pPr>
            <w:r>
              <w:rPr/>
              <w:t>For a Reference Weather Station, CDD for each day is equal to the greater of (i) the non-rounded average of the daily high and daily low temperatures in Reference Degrees from and including 12:01 AM on that day to and including 12:00 AM on the next day local time as measured by Reporting Service, and reported by the Reporting Agency, for the Reference Weather Station minus the Reference Basis or (ii) zero.  The daily high and low temperatures measured by the Reporting Service and reported by the Reporting Agency shall be rounded to whole numbers prior to the calculation of CDDs using the Rounding Convention.</w:t>
            </w:r>
          </w:p>
          <w:p>
            <w:pPr>
              <w:pStyle w:val="Normal"/>
              <w:jc w:val="both"/>
              <w:rPr/>
            </w:pPr>
            <w:r>
              <w:rPr/>
            </w:r>
          </w:p>
          <w:p>
            <w:pPr>
              <w:pStyle w:val="Normal"/>
              <w:jc w:val="both"/>
              <w:rPr/>
            </w:pPr>
            <w:r>
              <w:rPr/>
              <w:t>The Reporting Service shall be (i) if the Reference Weather Station is in the United States, the National Weather Service (“NWS”), the division of the National Oceanic and Atmospheric Administration responsible for providing weather and flood warnings, public forecasts and advisories for all of the United States, its territories, adjacent waters and ocean areas, or its successor organization (ii) if the Reference Weather Station is in the United Kingdom, [____________________________] and (iii) if the Reference Weather Station is in Norway, [_____________________________].</w:t>
            </w:r>
          </w:p>
          <w:p>
            <w:pPr>
              <w:pStyle w:val="Normal"/>
              <w:jc w:val="both"/>
              <w:rPr/>
            </w:pPr>
            <w:r>
              <w:rPr/>
            </w:r>
          </w:p>
          <w:p>
            <w:pPr>
              <w:pStyle w:val="Normal"/>
              <w:jc w:val="both"/>
              <w:rPr/>
            </w:pPr>
            <w:r>
              <w:rPr/>
              <w:t>The Reporting Agency shall be the National Climatic Data Center</w:t>
            </w:r>
            <w:r>
              <w:rPr>
                <w:color w:val="000000"/>
              </w:rPr>
              <w:t>, a unit of the National Oceanic and Atmospheric Administration Center, or its successor organization, which reports temperature information by the NWS</w:t>
            </w:r>
            <w:r>
              <w:rPr/>
              <w:t xml:space="preserve"> if the Reference Weather Station is in the United States, (ii) [_______________] if the Reference Weather Station is in the United Kingdom and (iii) [________________] if the Reference Weather Station is in Norway.</w:t>
            </w:r>
          </w:p>
          <w:p>
            <w:pPr>
              <w:pStyle w:val="Normal"/>
              <w:jc w:val="both"/>
              <w:rPr/>
            </w:pPr>
            <w:r>
              <w:rPr/>
            </w:r>
          </w:p>
          <w:p>
            <w:pPr>
              <w:pStyle w:val="Normal"/>
              <w:jc w:val="both"/>
              <w:rPr/>
            </w:pPr>
            <w:r>
              <w:rPr/>
              <w:t>The “Rounding Convention” shall be (i) if the Reference Degrees are degrees Fahrenheit, degrees shall be rounded to whole numbers where if the first number after the decimal point is five (5) or greater then the whole number shall be increased by one (1), and if the first number after the decimal point is less than five (5) then the whole number shall remain unchanged and (ii) if the Reference Degrees are degrees Celsius, .degrees shall be rounded to two decimal places where if the third number after the decimal point is five (5) or greater then the second number after the decimal point shall be increased by one (1), and if the third number after the decimal point is less than five (5) then the second number after the decimal point shall remain unchanged.</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pPr>
            <w:r>
              <w:rPr/>
              <w:t>Fallback Reference Weather Station</w:t>
            </w:r>
          </w:p>
          <w:p>
            <w:pPr>
              <w:pStyle w:val="Normal"/>
              <w:jc w:val="both"/>
              <w:rPr/>
            </w:pPr>
            <w:r>
              <w:rPr/>
              <w:t>(“FRWS”):</w:t>
            </w:r>
          </w:p>
        </w:tc>
        <w:tc>
          <w:tcPr>
            <w:tcW w:w="6408" w:type="dxa"/>
            <w:tcBorders/>
          </w:tcPr>
          <w:p>
            <w:pPr>
              <w:pStyle w:val="Normal"/>
              <w:jc w:val="both"/>
              <w:rPr/>
            </w:pPr>
            <w:r>
              <w:rPr/>
              <w:t xml:space="preserve">If for any day during the Calculation Period a daily maximum or daily minimum temperature is unavailable for a Reference Weather Station (“RWS”) then the missing temperature(s) for that day at such RWS shall be calculated in accordance with the following procedure: </w:t>
            </w:r>
          </w:p>
          <w:p>
            <w:pPr>
              <w:pStyle w:val="Normal"/>
              <w:jc w:val="both"/>
              <w:rPr/>
            </w:pPr>
            <w:r>
              <w:rPr/>
            </w:r>
          </w:p>
          <w:p>
            <w:pPr>
              <w:pStyle w:val="Normal"/>
              <w:numPr>
                <w:ilvl w:val="0"/>
                <w:numId w:val="2"/>
              </w:numPr>
              <w:jc w:val="both"/>
              <w:rPr/>
            </w:pPr>
            <w:r>
              <w:rPr/>
              <w:t xml:space="preserve">the daily maximum (if the missing temperature is a daily maximum) or daily minimum (if the missing temperature is a daily minimum) temperature for the corresponding day of each of the previous 30 years at such RWS shall be identified as reported in Reference Degrees by the Reporting Service (which numbers as reported by the Reporting Service shall not be rounded by the parties) and an average temperature shall be determined, which average temperature shall be determined to and including four decimal points; </w:t>
            </w:r>
          </w:p>
          <w:p>
            <w:pPr>
              <w:pStyle w:val="Normal"/>
              <w:numPr>
                <w:ilvl w:val="0"/>
                <w:numId w:val="2"/>
              </w:numPr>
              <w:jc w:val="both"/>
              <w:rPr/>
            </w:pPr>
            <w:r>
              <w:rPr/>
              <w:t xml:space="preserve">in accordance with the above procedures, the daily maximum or daily minimum temperature as appropriate shall be determined for the corresponding day of each of the previous 30 years at the Fallback Reference Weather Station </w:t>
            </w:r>
            <w:r>
              <w:rPr>
                <w:lang w:eastAsia="en-US"/>
              </w:rPr>
              <w:t xml:space="preserve">or in the event such data is not available, from the closest geographical location that publishes Reporting Service data for that period </w:t>
            </w:r>
            <w:r>
              <w:rPr/>
              <w:t>as reported by the Reporting Agency (which numbers as reported in Reference Degrees by the Reporting Agency shall not be rounded by the parties), and an average temperature shall be determined, which average temperature shall be determined to and including four decimal points;</w:t>
            </w:r>
          </w:p>
          <w:p>
            <w:pPr>
              <w:pStyle w:val="Normal"/>
              <w:numPr>
                <w:ilvl w:val="0"/>
                <w:numId w:val="2"/>
              </w:numPr>
              <w:jc w:val="both"/>
              <w:rPr/>
            </w:pPr>
            <w:r>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pPr>
            <w:r>
              <w:rPr/>
              <w:t xml:space="preserve">the daily maximum or daily minimum temperature as appropriate for the corresponding FRWS for the day for which the daily maximum or daily minimum temperature is missing for the RWS shall be identified as reported in Reference Degrees by the Reporting Agency (which number as reported by the Reporting Agency shall not be rounded);and </w:t>
            </w:r>
          </w:p>
          <w:p>
            <w:pPr>
              <w:pStyle w:val="Normal"/>
              <w:numPr>
                <w:ilvl w:val="0"/>
                <w:numId w:val="2"/>
              </w:numPr>
              <w:jc w:val="both"/>
              <w:rPr/>
            </w:pPr>
            <w:r>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pPr>
            <w:r>
              <w:rPr/>
            </w:r>
          </w:p>
        </w:tc>
      </w:tr>
      <w:tr>
        <w:trPr/>
        <w:tc>
          <w:tcPr>
            <w:tcW w:w="3168" w:type="dxa"/>
            <w:tcBorders/>
          </w:tcPr>
          <w:p>
            <w:pPr>
              <w:pStyle w:val="Normal"/>
              <w:jc w:val="both"/>
              <w:rPr/>
            </w:pPr>
            <w:r>
              <w:rPr/>
              <w:t>Data Sources:</w:t>
            </w:r>
          </w:p>
        </w:tc>
        <w:tc>
          <w:tcPr>
            <w:tcW w:w="6408" w:type="dxa"/>
            <w:tcBorders/>
          </w:tcPr>
          <w:p>
            <w:pPr>
              <w:pStyle w:val="Normal"/>
              <w:jc w:val="both"/>
              <w:rPr/>
            </w:pPr>
            <w:r>
              <w:rPr/>
              <w:t>If the Reference Weather Station is in the United States, the data used to determine the Floating Amount (and to the extent required, data for the FRWS) shall be obtained from the Reporting Agency’s official website located at http://www.nndc.noaa.gov/cgi-bin/nndc/ph2_lcd_v2.cgi,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Reporting Agency data is corrected or adjusted within 95 days of the end of the Calculation Period or (ii) the data is temporarily sourced from the Regional Climate Data Center, then the data for such new, adjusted or corrected number(s) shall be obtained from the Reporting Agency’s official website located at http://www4.ncdc.noaa.gov/cgi-win/wwcgi.dll?WWNolos~Product~PB-078.  Notwithstanding the foregoing, if neither the Regional Climate Data Center nor the Reproting Agency issues data for the RWS, then the procedures set forth under “Fallback Reference Weather Station(s)” shall be utilized to determine the missing data.</w:t>
            </w:r>
          </w:p>
          <w:p>
            <w:pPr>
              <w:pStyle w:val="Normal"/>
              <w:jc w:val="both"/>
              <w:rPr/>
            </w:pPr>
            <w:r>
              <w:rPr/>
            </w:r>
          </w:p>
        </w:tc>
      </w:tr>
      <w:tr>
        <w:trPr/>
        <w:tc>
          <w:tcPr>
            <w:tcW w:w="3168" w:type="dxa"/>
            <w:tcBorders/>
          </w:tcPr>
          <w:p>
            <w:pPr>
              <w:pStyle w:val="Normal"/>
              <w:jc w:val="both"/>
              <w:rPr>
                <w:color w:val="000000"/>
              </w:rPr>
            </w:pPr>
            <w:r>
              <w:rPr>
                <w:color w:val="000000"/>
              </w:rPr>
              <w:t>Strike Amount Differential:</w:t>
            </w:r>
          </w:p>
        </w:tc>
        <w:tc>
          <w:tcPr>
            <w:tcW w:w="6408" w:type="dxa"/>
            <w:tcBorders/>
          </w:tcPr>
          <w:p>
            <w:pPr>
              <w:pStyle w:val="Normal"/>
              <w:jc w:val="both"/>
              <w:rPr>
                <w:color w:val="000000"/>
              </w:rPr>
            </w:pPr>
            <w:r>
              <w:rPr>
                <w:color w:val="000000"/>
              </w:rPr>
              <w:t>The amount equal to the difference between the (i) the Floating Amount minus (ii) the Strike Amount</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Amount:</w:t>
            </w:r>
          </w:p>
        </w:tc>
        <w:tc>
          <w:tcPr>
            <w:tcW w:w="6408" w:type="dxa"/>
            <w:tcBorders/>
          </w:tcPr>
          <w:p>
            <w:pPr>
              <w:pStyle w:val="Normal"/>
              <w:keepNext w:val="true"/>
              <w:keepLines/>
              <w:jc w:val="both"/>
              <w:rPr>
                <w:color w:val="000000"/>
              </w:rPr>
            </w:pPr>
            <w:r>
              <w:rPr>
                <w:color w:val="000000"/>
              </w:rPr>
              <w:t>Notwithstanding any provision of the Agreement to the contrary, if the Strike Amount Differential is a:</w:t>
            </w:r>
          </w:p>
          <w:p>
            <w:pPr>
              <w:pStyle w:val="Normal"/>
              <w:keepNext w:val="true"/>
              <w:keepLines/>
              <w:jc w:val="both"/>
              <w:rPr/>
            </w:pPr>
            <w:r>
              <w:rPr>
                <w:color w:val="000000"/>
              </w:rPr>
              <w:t>(i) positive number, the Floating Amount Payer shall pay the Fixed Amount Payer an amount in the Contractual Currency</w:t>
            </w:r>
            <w:r>
              <w:rPr>
                <w:color w:val="FF0000"/>
              </w:rPr>
              <w:t xml:space="preserve">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that the maximum amount payable by the Floating Amount Payer shall not exceed Maximum Payout Limit,</w:t>
            </w:r>
            <w:r>
              <w:rPr>
                <w:color w:val="FF0000"/>
              </w:rPr>
              <w:t xml:space="preserve"> </w:t>
            </w:r>
            <w:r>
              <w:rPr/>
              <w:t xml:space="preserve">or </w:t>
            </w:r>
          </w:p>
          <w:p>
            <w:pPr>
              <w:pStyle w:val="Normal"/>
              <w:keepNext w:val="true"/>
              <w:keepLines/>
              <w:jc w:val="both"/>
              <w:rPr/>
            </w:pPr>
            <w:r>
              <w:rPr/>
              <w:t xml:space="preserve">(ii) negative number, the Fixed Amount Payer shall pay the Floating Amount Payer an absolute amount in the Contractual Currency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that the maximum amount payable by the Fixed Amount Payer shall not exceed Maximum Payout Limit.</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keepNext w:val="true"/>
              <w:keepLines/>
              <w:snapToGrid w:val="false"/>
              <w:jc w:val="both"/>
              <w:rPr>
                <w:color w:val="000000"/>
              </w:rPr>
            </w:pPr>
            <w:r>
              <w:rPr>
                <w:color w:val="000000"/>
              </w:rPr>
            </w:r>
          </w:p>
        </w:tc>
      </w:tr>
    </w:tbl>
    <w:p>
      <w:pPr>
        <w:pStyle w:val="Normal"/>
        <w:jc w:val="both"/>
        <w:rPr/>
      </w:pPr>
      <w:r>
        <w:rPr/>
        <w:t>3.</w:t>
        <w:tab/>
      </w:r>
      <w:r>
        <w:rPr>
          <w:b/>
          <w:u w:val="single"/>
        </w:rPr>
        <w:t>General</w:t>
      </w:r>
      <w:r>
        <w:rPr>
          <w:b/>
        </w:rPr>
        <w:t>.</w:t>
      </w:r>
      <w:r>
        <w:rPr/>
        <w:t xml:space="preserve">  The Transaction is subject to the terms and conditions of the printed form of the 1992 Master Agreement (Multicurrency-Cross Border) published by ISDA without any schedule (the “ISDA Form”) as modified by this GTC (“ISDA Agreement”).  Each party acknowledges that it has a copy of the ISDA Agreement and it has read and understands the terms and conditions thereof.  In the event of any inconsistency among or between the ISDA Agreement, the Definitions (as defined above), and this GTC, this GTC will govern.  In addition, Enron and Counterparty agree to promptly negotiate in good faith and enter into a master agreement as soon as reasonably possible in the form of the ISDA Agreement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the Transaction shall be governed by the terms and conditions of the ISDA Form as modified by this GTC.</w:t>
      </w:r>
    </w:p>
    <w:p>
      <w:pPr>
        <w:pStyle w:val="Normal"/>
        <w:jc w:val="both"/>
        <w:rPr/>
      </w:pPr>
      <w:r>
        <w:rPr/>
      </w:r>
    </w:p>
    <w:p>
      <w:pPr>
        <w:pStyle w:val="Normal"/>
        <w:jc w:val="both"/>
        <w:rPr/>
      </w:pPr>
      <w:r>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4.</w:t>
      </w:r>
      <w:r>
        <w:rPr>
          <w:b/>
        </w:rPr>
        <w:tab/>
        <w:tab/>
      </w:r>
      <w:r>
        <w:rPr>
          <w:b/>
          <w:u w:val="single"/>
        </w:rPr>
        <w:t>Representations</w:t>
      </w:r>
      <w:r>
        <w:rPr/>
        <w:t>.  To induce the other to enter into the Transaction, each party represents and warrants to the other that :</w:t>
      </w:r>
      <w:r>
        <w:rPr>
          <w:rFonts w:cs="Arial Narrow" w:ascii="Arial Narrow" w:hAnsi="Arial Narrow"/>
        </w:rPr>
        <w:t xml:space="preserve"> </w:t>
      </w:r>
      <w:r>
        <w:rPr/>
        <w:t xml:space="preserve">(a) </w:t>
      </w:r>
      <w:r>
        <w:rPr>
          <w:u w:val="single"/>
        </w:rPr>
        <w:t>Authority</w:t>
      </w:r>
      <w:r>
        <w:rPr/>
        <w:t xml:space="preserve">:  (i) the execution, delivery and performance of this Transaction have been duly authorized by all necessary corporate or other organization action on its part, (ii) this Transaction represents its legally valid and binding obligation, enforceable against it in accordance with its terms; (b) </w:t>
      </w:r>
      <w:r>
        <w:rPr>
          <w:u w:val="single"/>
        </w:rPr>
        <w:t>Eligible Swap Participant</w:t>
      </w:r>
      <w:r>
        <w:rPr/>
        <w:t xml:space="preserve">: it constitutes an “eligible swap participant” as such term is defined in  17 C.F.R. Section 35.1(b)(2) and this Transaction constitutes a “swap agreement” within the meaning of 17 C.F.R. Section 35.1(b)(1);  (c) </w:t>
      </w:r>
      <w:r>
        <w:rPr>
          <w:u w:val="single"/>
        </w:rPr>
        <w:t>Line of Business</w:t>
      </w:r>
      <w:r>
        <w:rPr/>
        <w:t xml:space="preserve">: Enron and Counterparty each represent that as of the Trade Date it is: (i) exposed in the conduct of its business to the risk of variations in temperature of the kind reflected in this Transaction and (ii) entering into this Transaction solely to offset or manage that risk; and (d) </w:t>
      </w:r>
      <w:r>
        <w:rPr>
          <w:u w:val="single"/>
        </w:rPr>
        <w:t>No Reliance and No Advisory Status</w:t>
      </w:r>
      <w:r>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
    </w:p>
    <w:p>
      <w:pPr>
        <w:pStyle w:val="Normal"/>
        <w:jc w:val="both"/>
        <w:rPr/>
      </w:pPr>
      <w:r>
        <w:rPr/>
        <w:t>5.</w:t>
        <w:tab/>
      </w:r>
      <w:r>
        <w:rPr>
          <w:b/>
          <w:u w:val="single"/>
        </w:rPr>
        <w:t>Early Termination.</w:t>
      </w:r>
      <w:r>
        <w:rPr/>
        <w:t xml:space="preserve"> For purposes of Section 6(e) of the ISDA Agreement, the Second Method and Loss shall apply.</w:t>
      </w:r>
    </w:p>
    <w:p>
      <w:pPr>
        <w:pStyle w:val="Normal"/>
        <w:jc w:val="both"/>
        <w:rPr/>
      </w:pPr>
      <w:r>
        <w:rPr/>
      </w:r>
    </w:p>
    <w:p>
      <w:pPr>
        <w:pStyle w:val="Normal"/>
        <w:tabs>
          <w:tab w:val="clear" w:pos="720"/>
          <w:tab w:val="left" w:pos="360" w:leader="none"/>
        </w:tabs>
        <w:jc w:val="both"/>
        <w:rPr/>
      </w:pPr>
      <w:r>
        <w:rPr/>
        <w:t>6.</w:t>
        <w:tab/>
        <w:tab/>
      </w:r>
      <w:r>
        <w:rPr>
          <w:b/>
          <w:u w:val="single"/>
        </w:rPr>
        <w:t>Governing Law/Jurisdiction</w:t>
      </w:r>
      <w:r>
        <w:rPr>
          <w:b/>
        </w:rPr>
        <w:t>.</w:t>
      </w:r>
      <w:r>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conducted in accordance with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 </w:t>
      </w:r>
    </w:p>
    <w:p>
      <w:pPr>
        <w:pStyle w:val="Normal"/>
        <w:jc w:val="both"/>
        <w:rPr/>
      </w:pPr>
      <w:r>
        <w:rPr/>
      </w:r>
    </w:p>
    <w:p>
      <w:pPr>
        <w:pStyle w:val="Normal"/>
        <w:jc w:val="both"/>
        <w:rPr/>
      </w:pPr>
      <w:r>
        <w:rPr/>
        <w:t>7.</w:t>
        <w:tab/>
      </w:r>
      <w:r>
        <w:rPr>
          <w:b/>
          <w:u w:val="single"/>
        </w:rPr>
        <w:t>Confidentiality</w:t>
      </w:r>
      <w:r>
        <w:rPr>
          <w:b/>
        </w:rPr>
        <w:t>.</w:t>
      </w:r>
      <w:r>
        <w:rPr/>
        <w:t xml:space="preserve">  The contents of this GTC, the Transaction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auditors, attorneys, or advisors which are required to keep the information that is disclosed in confidence.</w:t>
      </w:r>
    </w:p>
    <w:p>
      <w:pPr>
        <w:pStyle w:val="Normal"/>
        <w:jc w:val="both"/>
        <w:rPr/>
      </w:pPr>
      <w:r>
        <w:rPr/>
      </w:r>
    </w:p>
    <w:p>
      <w:pPr>
        <w:pStyle w:val="Normal"/>
        <w:jc w:val="both"/>
        <w:rPr/>
      </w:pPr>
      <w:r>
        <w:rPr/>
        <w:t>8.</w:t>
        <w:tab/>
      </w:r>
      <w:r>
        <w:rPr>
          <w:b/>
          <w:u w:val="single"/>
        </w:rPr>
        <w:t>Calculation Agent</w:t>
      </w:r>
      <w:r>
        <w:rPr>
          <w:b/>
        </w:rPr>
        <w:t>.</w:t>
      </w:r>
      <w:r>
        <w:rPr/>
        <w:t xml:space="preserve">  The Calculation Agent shall be Enron.</w:t>
      </w:r>
    </w:p>
    <w:p>
      <w:pPr>
        <w:pStyle w:val="Normal"/>
        <w:jc w:val="both"/>
        <w:rPr/>
      </w:pPr>
      <w:r>
        <w:rPr/>
      </w:r>
    </w:p>
    <w:p>
      <w:pPr>
        <w:pStyle w:val="Normal"/>
        <w:tabs>
          <w:tab w:val="left" w:pos="720" w:leader="none"/>
          <w:tab w:val="left" w:pos="810" w:leader="none"/>
        </w:tabs>
        <w:jc w:val="both"/>
        <w:rPr>
          <w:rFonts w:ascii="Arial Narrow" w:hAnsi="Arial Narrow" w:cs="Arial Narrow"/>
        </w:rPr>
      </w:pPr>
      <w:r>
        <w:rPr/>
        <w:t>9.</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 </w:t>
      </w:r>
      <w:r>
        <w:rPr/>
        <w:t xml:space="preserve"> </w:t>
      </w:r>
    </w:p>
    <w:p>
      <w:pPr>
        <w:pStyle w:val="Normal"/>
        <w:jc w:val="both"/>
        <w:rPr>
          <w:rFonts w:ascii="Arial Narrow" w:hAnsi="Arial Narrow" w:cs="Arial Narrow"/>
        </w:rPr>
      </w:pPr>
      <w:r>
        <w:rPr>
          <w:rFonts w:cs="Arial Narrow" w:ascii="Arial Narrow" w:hAnsi="Arial Narrow"/>
        </w:rPr>
      </w:r>
    </w:p>
    <w:p>
      <w:pPr>
        <w:pStyle w:val="Normal"/>
        <w:jc w:val="both"/>
        <w:rPr/>
      </w:pPr>
      <w:r>
        <w:rPr/>
        <w:t>10.</w:t>
        <w:tab/>
      </w:r>
      <w:r>
        <w:rPr>
          <w:b/>
          <w:u w:val="single"/>
        </w:rPr>
        <w:t>Setoff</w:t>
      </w:r>
      <w:r>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(i) all amounts due and payable as of the Early Termination Date by the Defaulting Party under all Derivative Transactions with the non-defaulting party or any of its Affiliates have been fully and finally paid, and (ii) all other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jc w:val="both"/>
        <w:rPr/>
      </w:pPr>
      <w:r>
        <w:rPr/>
      </w:r>
    </w:p>
    <w:p>
      <w:pPr>
        <w:pStyle w:val="Normal"/>
        <w:spacing w:lineRule="exact" w:line="240" w:before="240" w:after="0"/>
        <w:jc w:val="both"/>
        <w:rPr/>
      </w:pPr>
      <w:r>
        <w:rPr/>
      </w:r>
    </w:p>
    <w:sectPr>
      <w:footerReference w:type="default" r:id="rId2"/>
      <w:type w:val="nextPage"/>
      <w:pgSz w:w="12240" w:h="15840"/>
      <w:pgMar w:left="1008" w:right="1008" w:gutter="0" w:header="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p>
  <w:p>
    <w:pPr>
      <w:pStyle w:val="Footer"/>
      <w:rPr>
        <w:rStyle w:val="PageNumber"/>
        <w:sz w:val="16"/>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2"/>
      <w:numFmt w:val="decimal"/>
      <w:lvlText w:val="%1."/>
      <w:lvlJc w:val="start"/>
      <w:pPr>
        <w:tabs>
          <w:tab w:val="num" w:pos="360"/>
        </w:tabs>
        <w:ind w:start="360" w:hanging="36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4"/>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 w:hAnsi="Tms Rmn" w:cs="Tms Rm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u w:val="single"/>
    </w:rPr>
  </w:style>
  <w:style w:type="character" w:styleId="WW8Num9z0">
    <w:name w:val="WW8Num9z0"/>
    <w:qFormat/>
    <w:rPr/>
  </w:style>
  <w:style w:type="character" w:styleId="WW8Num10z0">
    <w:name w:val="WW8Num10z0"/>
    <w:qFormat/>
    <w:rPr/>
  </w:style>
  <w:style w:type="character" w:styleId="WW8Num12z0">
    <w:name w:val="WW8Num12z0"/>
    <w:qFormat/>
    <w:rPr>
      <w:b/>
    </w:rPr>
  </w:style>
  <w:style w:type="character" w:styleId="WW8Num13z0">
    <w:name w:val="WW8Num13z0"/>
    <w:qFormat/>
    <w:rPr>
      <w:b/>
    </w:rPr>
  </w:style>
  <w:style w:type="character" w:styleId="WW8Num15z0">
    <w:name w:val="WW8Num15z0"/>
    <w:qFormat/>
    <w:rPr>
      <w:b/>
      <w:u w:val="single"/>
    </w:rPr>
  </w:style>
  <w:style w:type="character" w:styleId="WW8Num16z0">
    <w:name w:val="WW8Num16z0"/>
    <w:qFormat/>
    <w:rPr/>
  </w:style>
  <w:style w:type="character" w:styleId="WW8Num17z0">
    <w:name w:val="WW8Num17z0"/>
    <w:qFormat/>
    <w:rPr/>
  </w:style>
  <w:style w:type="character" w:styleId="WW8Num18z0">
    <w:name w:val="WW8Num18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 w:hAnsi="Tms Rmn" w:cs="Tms Rmn"/>
      <w:vanish/>
      <w:color w:val="FF0000"/>
      <w:sz w:val="22"/>
    </w:rPr>
  </w:style>
  <w:style w:type="paragraph" w:styleId="Expanded">
    <w:name w:val="Expanded"/>
    <w:basedOn w:val="Normal"/>
    <w:next w:val="Normal"/>
    <w:qFormat/>
    <w:pPr>
      <w:spacing w:before="0" w:after="240"/>
      <w:jc w:val="center"/>
    </w:pPr>
    <w:rPr>
      <w:rFonts w:ascii="Tms Rmn" w:hAnsi="Tms Rmn" w:cs="Tms Rmn"/>
      <w:b/>
      <w:caps/>
      <w:spacing w:val="60"/>
      <w:sz w:val="22"/>
    </w:rPr>
  </w:style>
  <w:style w:type="paragraph" w:styleId="Justified">
    <w:name w:val="Justified"/>
    <w:basedOn w:val="Normal"/>
    <w:next w:val="Heading2"/>
    <w:qFormat/>
    <w:pPr>
      <w:spacing w:before="0" w:after="120"/>
      <w:jc w:val="both"/>
    </w:pPr>
    <w:rPr>
      <w:rFonts w:ascii="Tms Rmn" w:hAnsi="Tms Rmn" w:cs="Tms Rm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1999-08-15T16:29:00Z</dcterms:created>
  <dc:creator>ECT</dc:creator>
  <dc:description/>
  <dc:language>en-CA</dc:language>
  <cp:lastModifiedBy>mtaylo1</cp:lastModifiedBy>
  <cp:lastPrinted>1999-01-29T17:00:00Z</cp:lastPrinted>
  <dcterms:modified xsi:type="dcterms:W3CDTF">1999-08-15T17:40:00Z</dcterms:modified>
  <cp:revision>4</cp:revision>
  <dc:subject/>
  <dc:title>“DEEMED ISDA” CONFIRMATION</dc:title>
</cp:coreProperties>
</file>