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CDD OPTION</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Cooling Degree Day Options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Definitions or the ISDA Form) are used with the meanings given on the website which makes reference to this GTC (the “Website”).</w:t>
      </w:r>
    </w:p>
    <w:p>
      <w:pPr>
        <w:pStyle w:val="Normal"/>
        <w:jc w:val="both"/>
        <w:rPr/>
      </w:pPr>
      <w:r>
        <w:rPr/>
      </w:r>
    </w:p>
    <w:p>
      <w:pPr>
        <w:pStyle w:val="Normal"/>
        <w:jc w:val="both"/>
        <w:rPr/>
      </w:pPr>
      <w:r>
        <w:rPr>
          <w:b/>
        </w:rPr>
        <w:t>2.</w:t>
        <w:tab/>
      </w:r>
      <w:r>
        <w:rPr>
          <w:b/>
          <w:u w:val="single"/>
        </w:rPr>
        <w:t>Terms of Transaction</w:t>
      </w:r>
      <w:r>
        <w:rPr>
          <w:b/>
        </w:rPr>
        <w:t xml:space="preserve">.  </w:t>
      </w:r>
      <w:r>
        <w:rPr/>
        <w:t>The terms of the particular Transaction to which this GTC relates are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pPr>
            <w:r>
              <w:rPr/>
              <w:t>Transaction Type:</w:t>
            </w:r>
          </w:p>
        </w:tc>
        <w:tc>
          <w:tcPr>
            <w:tcW w:w="6408" w:type="dxa"/>
            <w:tcBorders/>
          </w:tcPr>
          <w:p>
            <w:pPr>
              <w:pStyle w:val="Normal"/>
              <w:jc w:val="both"/>
              <w:rPr/>
            </w:pPr>
            <w:r>
              <w:rPr/>
              <w:t>Cooling Degree Day (“CDD”) Option</w:t>
            </w:r>
          </w:p>
        </w:tc>
      </w:tr>
      <w:tr>
        <w:trPr/>
        <w:tc>
          <w:tcPr>
            <w:tcW w:w="3168" w:type="dxa"/>
            <w:tcBorders/>
          </w:tcPr>
          <w:p>
            <w:pPr>
              <w:pStyle w:val="Normal"/>
              <w:snapToGrid w:val="false"/>
              <w:jc w:val="both"/>
              <w:rPr/>
            </w:pPr>
            <w:r>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jc w:val="both"/>
              <w:rPr/>
            </w:pPr>
            <w:r>
              <w:rPr/>
              <w:t>The Buyer shall pay the Premium to the Seller two Business Days after this Transaction has been executed.</w:t>
            </w:r>
          </w:p>
          <w:p>
            <w:pPr>
              <w:pStyle w:val="Normal"/>
              <w:jc w:val="both"/>
              <w:rPr/>
            </w:pPr>
            <w:r>
              <w:rPr/>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Reporting Agency makes any correction or adjustment to the reported daily high and low temperatures within 95 days of the end of the Calculation Period for any day within the Calculation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pPr>
            <w:r>
              <w:rPr/>
              <w:t>Enron if the terms set forth on the Website relevant to the Transaction provide that Counterparty is buying and Counterparty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pPr>
            <w:r>
              <w:rPr/>
              <w:t>Counterparty if the terms set forth on the Website relevant to the Transaction provide that Counterparty is buying and Enron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CDD for each day is equal to the greater of (i)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minus the Reference Basis or (ii) zero.  The daily high and low temperatures measured by the Reporting Service and reported by the Reporting Agency shall be rounded to whole numbers prior to the calculation of CDDs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pPr>
            <w:r>
              <w:rPr/>
            </w:r>
          </w:p>
          <w:p>
            <w:pPr>
              <w:pStyle w:val="Normal"/>
              <w:jc w:val="both"/>
              <w:rPr/>
            </w:pPr>
            <w:r>
              <w:rPr/>
              <w:t>The Reporting Agency shall be (i) the National Climatic Data Center if the Reference Weather Station is in the United States, and (ii) the Reporting Service if the Reference Weather Station is in the United Kingdom, France or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 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p>
            <w:pPr>
              <w:pStyle w:val="Normal"/>
              <w:jc w:val="both"/>
              <w:rPr/>
            </w:pPr>
            <w:r>
              <w:rPr/>
            </w:r>
          </w:p>
        </w:tc>
      </w:tr>
      <w:tr>
        <w:trPr/>
        <w:tc>
          <w:tcPr>
            <w:tcW w:w="3168" w:type="dxa"/>
            <w:tcBorders/>
          </w:tcPr>
          <w:p>
            <w:pPr>
              <w:pStyle w:val="Normal"/>
              <w:jc w:val="both"/>
              <w:rPr/>
            </w:pPr>
            <w:r>
              <w:rPr/>
              <w:t>Strike Amount Differential:</w:t>
            </w:r>
          </w:p>
        </w:tc>
        <w:tc>
          <w:tcPr>
            <w:tcW w:w="6408" w:type="dxa"/>
            <w:tcBorders/>
          </w:tcPr>
          <w:p>
            <w:pPr>
              <w:pStyle w:val="Normal"/>
              <w:jc w:val="both"/>
              <w:rPr/>
            </w:pPr>
            <w:r>
              <w:rPr/>
              <w:t>The amount expressed as a positive number equal to the difference between (i) the Floating Amount and (ii) the Strike Amount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pPr>
            <w:r>
              <w:rPr/>
              <w:t xml:space="preserve">Notwithstanding any provision of the Agreement to the contrary, if either (A) the Transaction is a Call Option and the Floating Amount is greater than the Strike Amount, or (B) the Transaction is a Put Option and the Strike Amount is greater than the Floating Amount, then the Floating Amount Payer shall pay the Fixed Amount Payer an amount in the Contractual Currency equal to the product of (i) the Notional Amount and (ii) the Strike Amount Differential, which amount shall be due and payable on the applicable Payment Date, </w:t>
            </w:r>
            <w:r>
              <w:rPr>
                <w:b/>
              </w:rPr>
              <w:t>provided, however</w:t>
            </w:r>
            <w:r>
              <w:rPr/>
              <w:t>, that the maximum amount payable by the Floating Amount Payer shall not exceed the Maximum Payout Limit.</w:t>
            </w:r>
          </w:p>
          <w:p>
            <w:pPr>
              <w:pStyle w:val="Normal"/>
              <w:keepNext w:val="true"/>
              <w:keepLines/>
              <w:ind w:start="-3078" w:end="0"/>
              <w:jc w:val="both"/>
              <w:rPr/>
            </w:pPr>
            <w:r>
              <w:rPr/>
            </w:r>
          </w:p>
        </w:tc>
      </w:tr>
    </w:tbl>
    <w:p>
      <w:pPr>
        <w:pStyle w:val="Normal"/>
        <w:jc w:val="both"/>
        <w:rPr/>
      </w:pPr>
      <w:r>
        <w:rPr/>
      </w:r>
    </w:p>
    <w:p>
      <w:pPr>
        <w:pStyle w:val="Normal"/>
        <w:jc w:val="both"/>
        <w:rPr/>
      </w:pPr>
      <w:r>
        <w:rPr/>
        <w:t>3.</w:t>
        <w:tab/>
      </w:r>
      <w:r>
        <w:rPr>
          <w:b/>
          <w:u w:val="single"/>
        </w:rPr>
        <w:t>General</w:t>
      </w:r>
      <w:r>
        <w:rPr>
          <w:b/>
        </w:rPr>
        <w:t>.</w:t>
      </w:r>
      <w:r>
        <w:rPr/>
        <w:t xml:space="preserve">  “Transaction” as used herein shall mean this GTC (together with the ISDA Form) taken together with the terms set forth on the Website submitted by Counterparty and accepted by Enron.  This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b/>
        </w:rPr>
        <w:t>.</w:t>
      </w:r>
      <w:r>
        <w:rPr/>
        <w:t xml:space="preserve">  To induce the other to enter into this Transaction, each party represents and warrants to the other that:</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
    </w:p>
    <w:p>
      <w:pPr>
        <w:pStyle w:val="Normal"/>
        <w:jc w:val="both"/>
        <w:rPr/>
      </w:pPr>
      <w:r>
        <w:rPr/>
        <w:t>7.</w:t>
        <w:tab/>
      </w:r>
      <w:r>
        <w:rPr>
          <w:b/>
          <w:u w:val="single"/>
        </w:rPr>
        <w:t>Confidentiality</w:t>
      </w:r>
      <w:r>
        <w:rPr>
          <w:b/>
        </w:rPr>
        <w:t>.</w:t>
      </w:r>
      <w:r>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spacing w:lineRule="exact" w:line="240" w:before="240" w:after="0"/>
        <w:jc w:val="both"/>
        <w:rPr/>
      </w:pPr>
      <w:r>
        <w:rPr/>
        <w:t>9.</w:t>
        <w:tab/>
      </w:r>
      <w:r>
        <w:rPr>
          <w:b/>
          <w:u w:val="single"/>
        </w:rPr>
        <w:t>Netting of Payments</w:t>
      </w:r>
      <w:r>
        <w:rPr>
          <w:b/>
        </w:rPr>
        <w:t>.</w:t>
      </w:r>
      <w:r>
        <w:rPr/>
        <w:t xml:space="preserve">  Section 2(c)(ii) of the ISDA Agreement will not apply to all Transactions.</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11.</w:t>
        <w:tab/>
      </w:r>
      <w:r>
        <w:rPr>
          <w:b/>
          <w:u w:val="single"/>
        </w:rPr>
        <w:t>Setoff</w:t>
      </w:r>
      <w:r>
        <w:rPr>
          <w:b/>
        </w:rPr>
        <w:t>.</w:t>
      </w:r>
      <w:r>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spacing w:lineRule="exact" w:line="240" w:before="240" w:after="0"/>
        <w:jc w:val="both"/>
        <w:rPr/>
      </w:pPr>
      <w:r>
        <w:rPr/>
        <w:t xml:space="preserve">12.  </w:t>
      </w:r>
      <w:r>
        <w:rPr>
          <w:b/>
          <w:u w:val="single"/>
        </w:rPr>
        <w:t>Severability</w:t>
      </w:r>
      <w:r>
        <w:rPr>
          <w:b/>
        </w:rPr>
        <w:t>.</w:t>
      </w:r>
      <w:r>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u w:val="single"/>
        </w:rPr>
        <w:t>provided</w:t>
      </w:r>
      <w:r>
        <w:rPr/>
        <w:t xml:space="preserve">, </w:t>
      </w:r>
      <w:r>
        <w:rPr>
          <w:u w:val="single"/>
        </w:rPr>
        <w:t>however</w:t>
      </w:r>
      <w:r>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pPr>
      <w:r>
        <w:rPr/>
      </w:r>
    </w:p>
    <w:p>
      <w:pPr>
        <w:pStyle w:val="Normal"/>
        <w:tabs>
          <w:tab w:val="clear" w:pos="720"/>
          <w:tab w:val="left" w:pos="810" w:leader="none"/>
          <w:tab w:val="left" w:pos="1170" w:leader="none"/>
        </w:tabs>
        <w:jc w:val="both"/>
        <w:rPr/>
      </w:pPr>
      <w:r>
        <w:rPr/>
        <w:t xml:space="preserve">13.  </w:t>
      </w:r>
      <w:r>
        <w:rPr>
          <w:b/>
          <w:u w:val="single"/>
        </w:rPr>
        <w:t>Collateral Arrangements</w:t>
      </w:r>
      <w:r>
        <w:rPr>
          <w:b/>
        </w:rPr>
        <w:t xml:space="preserve">.  </w:t>
      </w:r>
      <w:r>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sectPr>
      <w:headerReference w:type="default" r:id="rId2"/>
      <w:footerReference w:type="default" r:id="rId3"/>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4z0">
    <w:name w:val="WW8Num14z0"/>
    <w:qFormat/>
    <w:rPr>
      <w:b/>
    </w:rPr>
  </w:style>
  <w:style w:type="character" w:styleId="WW8Num15z0">
    <w:name w:val="WW8Num15z0"/>
    <w:qFormat/>
    <w:rPr>
      <w:b/>
      <w:u w:val="single"/>
    </w:rPr>
  </w:style>
  <w:style w:type="character" w:styleId="WW8Num17z0">
    <w:name w:val="WW8Num17z0"/>
    <w:qFormat/>
    <w:rPr>
      <w:b/>
    </w:rPr>
  </w:style>
  <w:style w:type="character" w:styleId="WW8Num19z0">
    <w:name w:val="WW8Num19z0"/>
    <w:qFormat/>
    <w:rPr/>
  </w:style>
  <w:style w:type="character" w:styleId="WW8Num20z0">
    <w:name w:val="WW8Num20z0"/>
    <w:qFormat/>
    <w:rPr>
      <w:b w:val="false"/>
      <w:u w:val="none"/>
    </w:rPr>
  </w:style>
  <w:style w:type="character" w:styleId="WW8Num21z0">
    <w:name w:val="WW8Num21z0"/>
    <w:qFormat/>
    <w:rPr>
      <w:b/>
      <w:u w:val="singl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b w:val="false"/>
      <w:u w:val="none"/>
    </w:rPr>
  </w:style>
  <w:style w:type="character" w:styleId="WW8Num27z0">
    <w:name w:val="WW8Num27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1999-10-15T12:31:00Z</dcterms:created>
  <dc:creator>ECT</dc:creator>
  <dc:description/>
  <dc:language>en-CA</dc:language>
  <cp:lastModifiedBy>tjones</cp:lastModifiedBy>
  <cp:lastPrinted>1999-10-18T10:56:00Z</cp:lastPrinted>
  <dcterms:modified xsi:type="dcterms:W3CDTF">1999-10-18T20:44:00Z</dcterms:modified>
  <cp:revision>19</cp:revision>
  <dc:subject/>
  <dc:title>“DEEMED ISDA” CONFIRMATION</dc:title>
</cp:coreProperties>
</file>