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Cooling Degree Day (“CDD”)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“Transaction” as used herein shall mean this GTC (together with the ISDA Form) taken together with the terms set forth on the Website submitted by Counterparty and accepted by Enron.  This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b/>
        </w:rPr>
        <w:t>.</w:t>
      </w:r>
      <w:r>
        <w:rPr/>
        <w:t xml:space="preserve">  To induce the other to enter into this Transaction, each party represents and warrants to the other that:</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
    </w:p>
    <w:p>
      <w:pPr>
        <w:pStyle w:val="Normal"/>
        <w:jc w:val="both"/>
        <w:rPr/>
      </w:pPr>
      <w:r>
        <w:rPr/>
        <w:t>7.</w:t>
        <w:tab/>
      </w:r>
      <w:r>
        <w:rPr>
          <w:b/>
          <w:u w:val="single"/>
        </w:rPr>
        <w:t>Confidentiality</w:t>
      </w:r>
      <w:r>
        <w:rPr>
          <w:b/>
        </w:rPr>
        <w:t>.</w:t>
      </w:r>
      <w:r>
        <w:rPr/>
        <w:t xml:space="preserve">  This Transaction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spacing w:lineRule="exact" w:line="240" w:before="240" w:after="0"/>
        <w:jc w:val="both"/>
        <w:rPr/>
      </w:pPr>
      <w:r>
        <w:rPr/>
        <w:t>9.</w:t>
        <w:tab/>
      </w:r>
      <w:r>
        <w:rPr>
          <w:b/>
          <w:u w:val="single"/>
        </w:rPr>
        <w:t>Netting of Payments</w:t>
      </w:r>
      <w:r>
        <w:rPr>
          <w:b/>
        </w:rPr>
        <w:t>.</w:t>
      </w:r>
      <w:r>
        <w:rPr/>
        <w:t xml:space="preserve">  Section 2(c)(ii) of the ISDA Agreement will not apply to all Transactions.</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11.</w:t>
        <w:tab/>
      </w:r>
      <w:r>
        <w:rPr>
          <w:b/>
          <w:u w:val="single"/>
        </w:rPr>
        <w:t>Setoff</w:t>
      </w:r>
      <w:r>
        <w:rPr>
          <w:b/>
        </w:rPr>
        <w:t>.</w:t>
      </w:r>
      <w:r>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spacing w:lineRule="exact" w:line="240" w:before="240" w:after="0"/>
        <w:jc w:val="both"/>
        <w:rPr/>
      </w:pPr>
      <w:r>
        <w:rPr/>
        <w:t xml:space="preserve">12.  </w:t>
      </w:r>
      <w:r>
        <w:rPr>
          <w:b/>
          <w:u w:val="single"/>
        </w:rPr>
        <w:t>Severability</w:t>
      </w:r>
      <w:r>
        <w:rPr>
          <w:b/>
        </w:rPr>
        <w:t>.</w:t>
      </w:r>
      <w:r>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jc w:val="both"/>
        <w:rPr/>
      </w:pPr>
      <w:r>
        <w:rPr/>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1999-10-18T17:24:00Z</dcterms:created>
  <dc:creator>ECT</dc:creator>
  <dc:description/>
  <dc:language>en-CA</dc:language>
  <cp:lastModifiedBy>tjones</cp:lastModifiedBy>
  <cp:lastPrinted>1999-08-15T12:35:00Z</cp:lastPrinted>
  <dcterms:modified xsi:type="dcterms:W3CDTF">1999-10-18T20:43:00Z</dcterms:modified>
  <cp:revision>20</cp:revision>
  <dc:subject/>
  <dc:title>“DEEMED ISDA” CONFIRMATION</dc:title>
</cp:coreProperties>
</file>