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CDD OPTION</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Cooling Degree Day Options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pPr>
      <w:r>
        <w:rPr/>
      </w:r>
    </w:p>
    <w:p>
      <w:pPr>
        <w:pStyle w:val="Normal"/>
        <w:jc w:val="both"/>
        <w:rPr/>
      </w:pPr>
      <w:r>
        <w:rPr>
          <w:b/>
        </w:rPr>
        <w:t>2.</w:t>
        <w:tab/>
      </w:r>
      <w:r>
        <w:rPr>
          <w:b/>
          <w:u w:val="single"/>
        </w:rPr>
        <w:t>Terms of Transaction.</w:t>
      </w:r>
      <w:r>
        <w:rPr>
          <w:b/>
        </w:rPr>
        <w:t xml:space="preserve">  </w:t>
      </w:r>
      <w:r>
        <w:rPr/>
        <w:t>The terms of the particular Transaction to which this GTC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Cooling Degree Day (“CDD”) Option</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The Buyer shall pay the Premium to the Seller two Business Days after this Transaction has been executed.</w:t>
            </w:r>
          </w:p>
          <w:p>
            <w:pPr>
              <w:pStyle w:val="Normal"/>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Reporting Agency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Enron if the terms set forth on the Website relevant to the Transaction provide that Counterparty is buying and Counterparty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Counterparty if the terms set forth on the Website relevant to the Transaction provide that Counterparty is buying and Enron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expressed as a positive number equal to the difference between (i) the Floating Amount and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either (A) the Transaction is a Call Option and the Floating Amount is greater than the Strike Amount, or (B) the Transaction is a Put Option and the Strike Amount is greater than the Floating Amount, then the Floating Amount Payer shall pay the Fixed Amount Payer an amount in the Contractual Currency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the Maximum Payout Limit.</w:t>
            </w:r>
          </w:p>
          <w:p>
            <w:pPr>
              <w:pStyle w:val="Normal"/>
              <w:keepNext w:val="true"/>
              <w:keepLines/>
              <w:ind w:start="-3078" w:end="0"/>
              <w:jc w:val="both"/>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are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sectPr>
      <w:headerReference w:type="default" r:id="rId2"/>
      <w:footerReference w:type="default" r:id="rId3"/>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4z0">
    <w:name w:val="WW8Num14z0"/>
    <w:qFormat/>
    <w:rPr>
      <w:b/>
    </w:rPr>
  </w:style>
  <w:style w:type="character" w:styleId="WW8Num15z0">
    <w:name w:val="WW8Num15z0"/>
    <w:qFormat/>
    <w:rPr>
      <w:b/>
      <w:u w:val="single"/>
    </w:rPr>
  </w:style>
  <w:style w:type="character" w:styleId="WW8Num17z0">
    <w:name w:val="WW8Num17z0"/>
    <w:qFormat/>
    <w:rPr>
      <w:b/>
    </w:rPr>
  </w:style>
  <w:style w:type="character" w:styleId="WW8Num19z0">
    <w:name w:val="WW8Num19z0"/>
    <w:qFormat/>
    <w:rPr/>
  </w:style>
  <w:style w:type="character" w:styleId="WW8Num20z0">
    <w:name w:val="WW8Num20z0"/>
    <w:qFormat/>
    <w:rPr>
      <w:b w:val="false"/>
      <w:u w:val="none"/>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val="false"/>
      <w:u w:val="none"/>
    </w:rPr>
  </w:style>
  <w:style w:type="character" w:styleId="WW8Num27z0">
    <w:name w:val="WW8Num27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1999-08-25T20:13:00Z</dcterms:created>
  <dc:creator>ECT</dc:creator>
  <dc:description/>
  <dc:language>en-CA</dc:language>
  <cp:lastModifiedBy>tjones</cp:lastModifiedBy>
  <cp:lastPrinted>1999-08-15T12:35:00Z</cp:lastPrinted>
  <dcterms:modified xsi:type="dcterms:W3CDTF">1999-08-25T20:34:00Z</dcterms:modified>
  <cp:revision>8</cp:revision>
  <dc:subject/>
  <dc:title>“DEEMED ISDA” CONFIRMATION</dc:title>
</cp:coreProperties>
</file>