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1.  Contract structures deemed by CFTC as within “cash forward” exclusion</w:t>
      </w:r>
    </w:p>
    <w:p>
      <w:pPr>
        <w:pStyle w:val="Normal"/>
        <w:rPr>
          <w:u w:val="single"/>
        </w:rPr>
      </w:pPr>
      <w:r>
        <w:rPr>
          <w:u w:val="single"/>
        </w:rPr>
      </w:r>
    </w:p>
    <w:p>
      <w:pPr>
        <w:pStyle w:val="Normal"/>
        <w:rPr/>
      </w:pPr>
      <w:r>
        <w:rPr>
          <w:b/>
          <w:bCs/>
        </w:rPr>
        <w:t xml:space="preserve">(a) “Minimum price” guarantee </w:t>
      </w:r>
      <w:r>
        <w:rPr/>
        <w:t>CFTC Interpretative Letter, 50 FR 39656 (9/30/85)</w:t>
      </w:r>
    </w:p>
    <w:p>
      <w:pPr>
        <w:pStyle w:val="Normal"/>
        <w:rPr/>
      </w:pPr>
      <w:r>
        <w:rPr/>
      </w:r>
    </w:p>
    <w:p>
      <w:pPr>
        <w:pStyle w:val="BodyText"/>
        <w:rPr/>
      </w:pPr>
      <w:r>
        <w:rPr/>
        <w:t xml:space="preserve">Structure: Seller/farmer commits to deliver buyer specified grade and volume of commodity within a particular time frame (on or before a deadline).  At time of contract, price is left open, but contract describes method of price determination.  One example: parties agree upon a fixed price component (probably based on a CBOT futures month), and at any time during contract period, farmer may select as the basis the actual basis on the day of the election.  As consideration for this optionality, buyer deducts premium from purchase price upon actual delivery.  CFTC Office of the General Counsel acknowledges that “this type of contract is a hybrid of both a forward and an option contract,” but opines “that this type of contract comes within the forward contract exemption   . . .  the farmer cannot ‘accept or reject the offer’ . . . the producer would be in breach of contract if he or she failed to deliver to the merchant”  </w:t>
      </w:r>
      <w:r>
        <w:rPr>
          <w:b/>
          <w:bCs/>
        </w:rPr>
        <w:t>[</w:t>
      </w:r>
      <w:r>
        <w:rPr>
          <w:i/>
          <w:iCs/>
        </w:rPr>
        <w:t>note: this opinion was made at a time when off-exchange options on the ‘enumerated agricultural commodities’ were not allowed under any circumstances</w:t>
      </w:r>
      <w:r>
        <w:rPr>
          <w:b/>
          <w:bCs/>
        </w:rPr>
        <w:t>]</w:t>
      </w:r>
    </w:p>
    <w:p>
      <w:pPr>
        <w:pStyle w:val="Normal"/>
        <w:rPr>
          <w:b/>
          <w:bCs/>
        </w:rPr>
      </w:pPr>
      <w:r>
        <w:rPr>
          <w:b/>
          <w:bCs/>
        </w:rPr>
      </w:r>
    </w:p>
    <w:p>
      <w:pPr>
        <w:pStyle w:val="Normal"/>
        <w:rPr/>
      </w:pPr>
      <w:r>
        <w:rPr>
          <w:b/>
          <w:bCs/>
        </w:rPr>
        <w:t xml:space="preserve">(b) Option “pass-through” </w:t>
      </w:r>
      <w:r>
        <w:rPr/>
        <w:t>CFTC Interpretative Letter No. 96-23 (3/14/96)</w:t>
      </w:r>
    </w:p>
    <w:p>
      <w:pPr>
        <w:pStyle w:val="Normal"/>
        <w:rPr/>
      </w:pPr>
      <w:r>
        <w:rPr/>
      </w:r>
    </w:p>
    <w:p>
      <w:pPr>
        <w:pStyle w:val="Normal"/>
        <w:jc w:val="both"/>
        <w:rPr/>
      </w:pPr>
      <w:r>
        <w:rPr/>
        <w:t>Structure: seller/producer enters into contract with buyer/elevator for delivery of specified amount of grain at a future date.  The price is set when the contract is entered into. As part of contract, elevator agrees to buy exchange-traded call options on the grain (in an amount not to exceed grain committed to physical delivery).  Elevator passes through option premium, plus service charge, as adjustment to contract price.  At termination of option, elevator pays to producer value (if any) of the option.  Producer gets to elect termination time (any time before expiration date).  Once producer elects to terminate, he cannot reestablish (i.e. “roll”) option position.</w:t>
      </w:r>
    </w:p>
    <w:p>
      <w:pPr>
        <w:pStyle w:val="Normal"/>
        <w:jc w:val="both"/>
        <w:rPr/>
      </w:pPr>
      <w:r>
        <w:rPr/>
      </w:r>
    </w:p>
    <w:p>
      <w:pPr>
        <w:pStyle w:val="Normal"/>
        <w:jc w:val="both"/>
        <w:rPr/>
      </w:pPr>
      <w:r>
        <w:rPr/>
        <w:t xml:space="preserve">CFTC’s Division of Economic Analysis opines that this contract is “consistent with . . . 1985 interpretative statement” [i.e., “minimum price” contract”] and therefore is “not subject to Commission regulation.”  </w:t>
      </w:r>
      <w:r>
        <w:rPr>
          <w:b/>
          <w:bCs/>
        </w:rPr>
        <w:t>[</w:t>
      </w:r>
      <w:r>
        <w:rPr>
          <w:i/>
          <w:iCs/>
        </w:rPr>
        <w:t>note: the letter opinion does not discuss whether this contract effectively makes the elevator an FCM, but does note that the contract recites that the option position is the elevator’s only, and the elevator is solely liable for passing the value of the option on to seller</w:t>
      </w:r>
      <w:r>
        <w:rPr>
          <w:b/>
          <w:bCs/>
        </w:rPr>
        <w:t>].</w:t>
      </w:r>
    </w:p>
    <w:p>
      <w:pPr>
        <w:pStyle w:val="Normal"/>
        <w:jc w:val="both"/>
        <w:rPr>
          <w:b/>
          <w:bCs/>
        </w:rPr>
      </w:pPr>
      <w:r>
        <w:rPr>
          <w:b/>
          <w:bCs/>
        </w:rPr>
      </w:r>
    </w:p>
    <w:p>
      <w:pPr>
        <w:pStyle w:val="Normal"/>
        <w:jc w:val="both"/>
        <w:rPr/>
      </w:pPr>
      <w:r>
        <w:rPr>
          <w:b/>
          <w:bCs/>
        </w:rPr>
        <w:t xml:space="preserve">(c) “Minimum-maximum price” contract </w:t>
      </w:r>
      <w:r>
        <w:rPr/>
        <w:t>CFTC Interpretative Letter No. 98-13 (12/3/97)</w:t>
      </w:r>
    </w:p>
    <w:p>
      <w:pPr>
        <w:pStyle w:val="Normal"/>
        <w:jc w:val="both"/>
        <w:rPr/>
      </w:pPr>
      <w:r>
        <w:rPr/>
      </w:r>
    </w:p>
    <w:p>
      <w:pPr>
        <w:pStyle w:val="Normal"/>
        <w:jc w:val="both"/>
        <w:rPr/>
      </w:pPr>
      <w:r>
        <w:rPr/>
        <w:t>Applicant requested opinion on “minimum-maximum price” contract, in which parties agree at outset to commodity delivery volume and dates, but price is later determined in accordance with formula pegged to CBOT price.  (letter does not describe how price is determined).</w:t>
      </w:r>
    </w:p>
    <w:p>
      <w:pPr>
        <w:pStyle w:val="Normal"/>
        <w:jc w:val="both"/>
        <w:rPr/>
      </w:pPr>
      <w:r>
        <w:rPr/>
      </w:r>
    </w:p>
    <w:p>
      <w:pPr>
        <w:pStyle w:val="Normal"/>
        <w:jc w:val="both"/>
        <w:rPr/>
      </w:pPr>
      <w:r>
        <w:rPr/>
        <w:t>Division of Economic Analysis opines that contract is within “forward” exclusion based on firm physical delivery commitment.</w:t>
        <w:tab/>
      </w:r>
    </w:p>
    <w:p>
      <w:pPr>
        <w:pStyle w:val="Normal"/>
        <w:jc w:val="both"/>
        <w:rPr/>
      </w:pPr>
      <w:r>
        <w:rPr/>
      </w:r>
    </w:p>
    <w:p>
      <w:pPr>
        <w:pStyle w:val="Normal"/>
        <w:jc w:val="both"/>
        <w:rPr>
          <w:b/>
          <w:bCs/>
          <w:u w:val="single"/>
        </w:rPr>
      </w:pPr>
      <w:r>
        <w:rPr>
          <w:b/>
          <w:bCs/>
          <w:u w:val="single"/>
        </w:rPr>
        <w:t>2.  Pending Enforcement Action – “Premium Offer” Contracts</w:t>
      </w:r>
    </w:p>
    <w:p>
      <w:pPr>
        <w:pStyle w:val="Normal"/>
        <w:jc w:val="both"/>
        <w:rPr/>
      </w:pPr>
      <w:r>
        <w:rPr/>
        <w:t xml:space="preserve"> </w:t>
      </w:r>
    </w:p>
    <w:p>
      <w:pPr>
        <w:pStyle w:val="Normal"/>
        <w:jc w:val="both"/>
        <w:rPr/>
      </w:pPr>
      <w:r>
        <w:rPr>
          <w:i/>
          <w:iCs/>
        </w:rPr>
        <w:t xml:space="preserve">In the Matter of Cargill, Inc. </w:t>
      </w:r>
      <w:r>
        <w:rPr/>
        <w:t>(CFTC, 8/26/99)</w:t>
      </w:r>
    </w:p>
    <w:p>
      <w:pPr>
        <w:pStyle w:val="Normal"/>
        <w:jc w:val="both"/>
        <w:rPr/>
      </w:pPr>
      <w:r>
        <w:rPr/>
      </w:r>
    </w:p>
    <w:p>
      <w:pPr>
        <w:pStyle w:val="Normal"/>
        <w:jc w:val="both"/>
        <w:rPr/>
      </w:pPr>
      <w:r>
        <w:rPr/>
        <w:t>CFTC complaint and notice of hearing against respondent food marketer/processor, alleging violations of CEA 4(c)(b) and CFTC Rule 32.2 (trade options) by virtue of entering into “Premium Offer Contracts” with farmers.   Structure: respondent pays farmer non-refundable premium for farmer’s “firm offer” to sell grain for deferred delivery.  If futures price closes at or above specified strike price, farmer must deliver and Cargill must take.  CFTC’s position is that POC constitutes call option.</w:t>
      </w:r>
    </w:p>
    <w:p>
      <w:pPr>
        <w:pStyle w:val="Normal"/>
        <w:jc w:val="both"/>
        <w:rPr/>
      </w:pPr>
      <w:r>
        <w:rPr/>
      </w:r>
    </w:p>
    <w:p>
      <w:pPr>
        <w:pStyle w:val="Normal"/>
        <w:jc w:val="both"/>
        <w:rPr>
          <w:b/>
          <w:bCs/>
          <w:u w:val="single"/>
        </w:rPr>
      </w:pPr>
      <w:r>
        <w:rPr>
          <w:b/>
          <w:bCs/>
          <w:u w:val="single"/>
        </w:rPr>
        <w:t>3. “Hedge-to-arrive” Contracts</w:t>
      </w:r>
    </w:p>
    <w:p>
      <w:pPr>
        <w:pStyle w:val="Normal"/>
        <w:jc w:val="both"/>
        <w:rPr>
          <w:b/>
          <w:bCs/>
          <w:u w:val="single"/>
        </w:rPr>
      </w:pPr>
      <w:r>
        <w:rPr>
          <w:b/>
          <w:bCs/>
          <w:u w:val="single"/>
        </w:rPr>
      </w:r>
    </w:p>
    <w:p>
      <w:pPr>
        <w:pStyle w:val="BodyText"/>
        <w:rPr/>
      </w:pPr>
      <w:r>
        <w:rPr/>
        <w:t>There are several different structures of contracts that are termed “hedge-to-arrive” (HTA).  A 1996 white paper by the National Grain and Feed Association entitled “Hybrid Cash Grain Contracts” describes some of these, as do three law review articles I have come across.  HTAs generally involve an agreed-upon delivery date with a price optionality similar to that found in the “minimum price guarantee” contract described above.  Particular HTAs often called “Flex” HTAs allow the farmer to change the delivery date (to either a later or earlier date).  When the buyer receives notice of such an election, it offsets or “cashes out” of the futures position it had originally taken to hedge the price, and takes a new futures hedge position based on the new delivery date.     The gain or loss realized upon this re-hedging is passed through to the farmer.</w:t>
      </w:r>
    </w:p>
    <w:p>
      <w:pPr>
        <w:pStyle w:val="BodyText"/>
        <w:rPr/>
      </w:pPr>
      <w:r>
        <w:rPr/>
      </w:r>
    </w:p>
    <w:p>
      <w:pPr>
        <w:pStyle w:val="BodyText"/>
        <w:rPr/>
      </w:pPr>
      <w:r>
        <w:rPr/>
        <w:t>All of the decisions summarized below appear to involve Flex HTAs (it is hard to be certain in a few cases).  Despite the apparent schism, federal courts and the CFTC all agree that each contract has to be analyzed on its own merits and by its substance rather than by how the contract is titled.</w:t>
      </w:r>
    </w:p>
    <w:p>
      <w:pPr>
        <w:pStyle w:val="BodyText"/>
        <w:rPr/>
      </w:pPr>
      <w:r>
        <w:rPr/>
      </w:r>
    </w:p>
    <w:p>
      <w:pPr>
        <w:pStyle w:val="BodyText"/>
        <w:rPr>
          <w:b/>
          <w:bCs/>
        </w:rPr>
      </w:pPr>
      <w:r>
        <w:rPr>
          <w:b/>
          <w:bCs/>
        </w:rPr>
        <w:t>(a) CFTC Enforcement Proceedings.</w:t>
      </w:r>
    </w:p>
    <w:p>
      <w:pPr>
        <w:pStyle w:val="BodyText"/>
        <w:rPr>
          <w:b/>
          <w:bCs/>
        </w:rPr>
      </w:pPr>
      <w:r>
        <w:rPr>
          <w:b/>
          <w:bCs/>
        </w:rPr>
      </w:r>
    </w:p>
    <w:p>
      <w:pPr>
        <w:pStyle w:val="Normal"/>
        <w:jc w:val="both"/>
        <w:rPr/>
      </w:pPr>
      <w:r>
        <w:rPr>
          <w:i/>
          <w:iCs/>
        </w:rPr>
        <w:t>In the Matter of the Andersons, Inc.</w:t>
      </w:r>
      <w:r>
        <w:rPr/>
        <w:t xml:space="preserve"> (CFTC, 1/12/99)</w:t>
      </w:r>
    </w:p>
    <w:p>
      <w:pPr>
        <w:pStyle w:val="Normal"/>
        <w:jc w:val="both"/>
        <w:rPr/>
      </w:pPr>
      <w:r>
        <w:rPr/>
      </w:r>
    </w:p>
    <w:p>
      <w:pPr>
        <w:pStyle w:val="Normal"/>
        <w:jc w:val="both"/>
        <w:rPr/>
      </w:pPr>
      <w:r>
        <w:rPr/>
        <w:t xml:space="preserve">CFTC finds respondent (the Andersons, Inc.) liable for violations of CEA 4(a) and 4(c)(b) by virtue of respondent’s entering into HTA contracts w/ corn farmer.  Finding does not discuss </w:t>
      </w:r>
      <w:r>
        <w:rPr>
          <w:i/>
          <w:iCs/>
        </w:rPr>
        <w:t xml:space="preserve">Andersons, Inc.  v. Horton Farms </w:t>
      </w:r>
      <w:r>
        <w:rPr/>
        <w:t>(discussed below</w:t>
      </w:r>
      <w:r>
        <w:rPr>
          <w:i/>
          <w:iCs/>
        </w:rPr>
        <w:t xml:space="preserve">; </w:t>
      </w:r>
      <w:r>
        <w:rPr/>
        <w:t>6</w:t>
      </w:r>
      <w:r>
        <w:rPr>
          <w:vertAlign w:val="superscript"/>
        </w:rPr>
        <w:t>th</w:t>
      </w:r>
      <w:r>
        <w:rPr/>
        <w:t xml:space="preserve"> Circuit decision handed down shortly prior to this enforcement proceeding); this matter involves different HTA transactions than </w:t>
      </w:r>
      <w:r>
        <w:rPr>
          <w:i/>
          <w:iCs/>
        </w:rPr>
        <w:t>Andersons v. Horton</w:t>
      </w:r>
      <w:r>
        <w:rPr/>
        <w:t>, but it is possible that the same contract forms were used.</w:t>
      </w:r>
    </w:p>
    <w:p>
      <w:pPr>
        <w:pStyle w:val="Normal"/>
        <w:jc w:val="both"/>
        <w:rPr/>
      </w:pPr>
      <w:r>
        <w:rPr/>
      </w:r>
    </w:p>
    <w:p>
      <w:pPr>
        <w:pStyle w:val="Normal"/>
        <w:jc w:val="both"/>
        <w:rPr/>
      </w:pPr>
      <w:r>
        <w:rPr/>
        <w:t>CFTC’s finding was based on cash-settlement features of HTA.  It was not made clear that the contract language provided for cash settlement, but finding noted that “in practice” the contracts provided for cash settlement.  Possibly determinative was finding that producers were committing up to three times their forecast production to HTAs.</w:t>
      </w:r>
    </w:p>
    <w:p>
      <w:pPr>
        <w:pStyle w:val="Normal"/>
        <w:jc w:val="both"/>
        <w:rPr/>
      </w:pPr>
      <w:r>
        <w:rPr/>
      </w:r>
    </w:p>
    <w:p>
      <w:pPr>
        <w:pStyle w:val="Normal"/>
        <w:jc w:val="both"/>
        <w:rPr/>
      </w:pPr>
      <w:r>
        <w:rPr/>
        <w:t>Andersons, Inc. and CFTC enter into settlement order, involving cease-and-desist and $200,000 fine.  Commissioner Barbara P. Holum dissents, arguing that HTA’s were cash forward contracts.</w:t>
      </w:r>
    </w:p>
    <w:p>
      <w:pPr>
        <w:pStyle w:val="Normal"/>
        <w:jc w:val="both"/>
        <w:rPr/>
      </w:pPr>
      <w:r>
        <w:rPr/>
      </w:r>
    </w:p>
    <w:p>
      <w:pPr>
        <w:pStyle w:val="Normal"/>
        <w:jc w:val="both"/>
        <w:rPr/>
      </w:pPr>
      <w:r>
        <w:rPr>
          <w:i/>
          <w:iCs/>
        </w:rPr>
        <w:t>In the Matter of Farmers Cooperative Company</w:t>
      </w:r>
      <w:r>
        <w:rPr/>
        <w:t xml:space="preserve"> (CFTC, 1/12/99) </w:t>
      </w:r>
    </w:p>
    <w:p>
      <w:pPr>
        <w:pStyle w:val="Normal"/>
        <w:jc w:val="both"/>
        <w:rPr/>
      </w:pPr>
      <w:r>
        <w:rPr/>
      </w:r>
    </w:p>
    <w:p>
      <w:pPr>
        <w:pStyle w:val="Normal"/>
        <w:jc w:val="both"/>
        <w:rPr/>
      </w:pPr>
      <w:r>
        <w:rPr/>
        <w:t xml:space="preserve">CFTC complaint and notice of hearing against respondent grain elevator, alleging CEA 4(a) violations by virtue of entering into HTAs.  </w:t>
      </w:r>
    </w:p>
    <w:p>
      <w:pPr>
        <w:pStyle w:val="Normal"/>
        <w:jc w:val="both"/>
        <w:rPr/>
      </w:pPr>
      <w:r>
        <w:rPr/>
      </w:r>
    </w:p>
    <w:p>
      <w:pPr>
        <w:pStyle w:val="Normal"/>
        <w:jc w:val="both"/>
        <w:rPr/>
      </w:pPr>
      <w:r>
        <w:rPr>
          <w:i/>
          <w:iCs/>
        </w:rPr>
        <w:t>In the Matter of Competitive Strategies for Agriculture, Ltd.et al</w:t>
      </w:r>
      <w:r>
        <w:rPr/>
        <w:t xml:space="preserve"> (CFTC, Docket No. 98-4, 9/17/99)</w:t>
      </w:r>
    </w:p>
    <w:p>
      <w:pPr>
        <w:pStyle w:val="Normal"/>
        <w:jc w:val="both"/>
        <w:rPr/>
      </w:pPr>
      <w:r>
        <w:rPr/>
      </w:r>
    </w:p>
    <w:p>
      <w:pPr>
        <w:pStyle w:val="Normal"/>
        <w:jc w:val="both"/>
        <w:rPr/>
      </w:pPr>
      <w:r>
        <w:rPr/>
        <w:t>CFTC enforcement proceeding against respondent co-op elevator operator for entering into illegal off-exchange futures contracts w/ farmer.  CFTC found that HTAs here were illegal off-exchange futures contracts.</w:t>
      </w:r>
    </w:p>
    <w:p>
      <w:pPr>
        <w:pStyle w:val="Normal"/>
        <w:jc w:val="both"/>
        <w:rPr/>
      </w:pPr>
      <w:r>
        <w:rPr/>
      </w:r>
    </w:p>
    <w:p>
      <w:pPr>
        <w:pStyle w:val="BodyText"/>
        <w:rPr>
          <w:b/>
          <w:bCs/>
        </w:rPr>
      </w:pPr>
      <w:r>
        <w:rPr>
          <w:b/>
          <w:bCs/>
        </w:rPr>
      </w:r>
    </w:p>
    <w:p>
      <w:pPr>
        <w:pStyle w:val="BodyText"/>
        <w:rPr/>
      </w:pPr>
      <w:r>
        <w:rPr>
          <w:b/>
          <w:bCs/>
        </w:rPr>
        <w:t>(b) Federal court cases</w:t>
      </w:r>
      <w:r>
        <w:rPr/>
        <w:t>.  Highlighted below are a few of the several court cases I have come across considering the question as to whether the instant HTA was a “futures” or “forward” contract.  Not one court case I have encountered has held an HTA to be a “futures” contract.</w:t>
      </w:r>
    </w:p>
    <w:p>
      <w:pPr>
        <w:pStyle w:val="Normal"/>
        <w:jc w:val="both"/>
        <w:rPr>
          <w:b/>
          <w:bCs/>
        </w:rPr>
      </w:pPr>
      <w:r>
        <w:rPr>
          <w:b/>
          <w:bCs/>
        </w:rPr>
      </w:r>
    </w:p>
    <w:p>
      <w:pPr>
        <w:pStyle w:val="Normal"/>
        <w:jc w:val="both"/>
        <w:rPr/>
      </w:pPr>
      <w:r>
        <w:rPr>
          <w:i/>
          <w:iCs/>
        </w:rPr>
        <w:t>In re Grain Land Coop Cases</w:t>
      </w:r>
      <w:r>
        <w:rPr/>
        <w:t xml:space="preserve"> (U.S., Third Division, Minnesota; 9/25/97)</w:t>
      </w:r>
    </w:p>
    <w:p>
      <w:pPr>
        <w:pStyle w:val="Normal"/>
        <w:jc w:val="both"/>
        <w:rPr/>
      </w:pPr>
      <w:r>
        <w:rPr/>
      </w:r>
    </w:p>
    <w:p>
      <w:pPr>
        <w:pStyle w:val="BodyText"/>
        <w:rPr/>
      </w:pPr>
      <w:r>
        <w:rPr/>
        <w:t>Consolidation of claims by various seller/farmers against buyer/co-op.  Partial summary judgment granted to co-op on court finding that HTA’s fall within “cash forward” exclusion.</w:t>
      </w:r>
    </w:p>
    <w:p>
      <w:pPr>
        <w:pStyle w:val="Normal"/>
        <w:rPr>
          <w:b/>
          <w:bCs/>
        </w:rPr>
      </w:pPr>
      <w:r>
        <w:rPr>
          <w:b/>
          <w:bCs/>
        </w:rPr>
      </w:r>
    </w:p>
    <w:p>
      <w:pPr>
        <w:pStyle w:val="Normal"/>
        <w:rPr/>
      </w:pPr>
      <w:r>
        <w:rPr>
          <w:i/>
          <w:iCs/>
        </w:rPr>
        <w:t>The Andersons, Inc. v. Horton Farms, Inc.</w:t>
      </w:r>
      <w:r>
        <w:rPr/>
        <w:t xml:space="preserve"> (USCA, 6</w:t>
      </w:r>
      <w:r>
        <w:rPr>
          <w:vertAlign w:val="superscript"/>
        </w:rPr>
        <w:t>th</w:t>
      </w:r>
      <w:r>
        <w:rPr/>
        <w:t xml:space="preserve"> Cir, 12/17/98)</w:t>
      </w:r>
    </w:p>
    <w:p>
      <w:pPr>
        <w:pStyle w:val="Normal"/>
        <w:rPr/>
      </w:pPr>
      <w:r>
        <w:rPr/>
      </w:r>
    </w:p>
    <w:p>
      <w:pPr>
        <w:pStyle w:val="BodyText"/>
        <w:rPr/>
      </w:pPr>
      <w:r>
        <w:rPr/>
        <w:t>Plaintiff (the Andersons, Inc.) grain storer had entered into several hedge-to-arrive contracts with defendant (Horton Farms) farmer.  Contracts contained arbitration clause..  Dispute over fees arose.  Plaintiffs sued in federal district court in Michigan (Western Division, at Grand Rapids and Lansing) to compel arbitration.  District Court granted summary judgment in favor of plaintiffs.</w:t>
      </w:r>
    </w:p>
    <w:p>
      <w:pPr>
        <w:pStyle w:val="Normal"/>
        <w:jc w:val="both"/>
        <w:rPr/>
      </w:pPr>
      <w:r>
        <w:rPr/>
      </w:r>
    </w:p>
    <w:p>
      <w:pPr>
        <w:pStyle w:val="Normal"/>
        <w:jc w:val="both"/>
        <w:rPr/>
      </w:pPr>
      <w:r>
        <w:rPr/>
        <w:t>USCA affirmed, holding that HTA’s constitute “cash forward contracts” and therefore “cannot be appropriately regulated by the Commodity Exchange Act of the Commodity Futures Trading Commission.” (i.e., CFTC regulations were not applicable and thus could not override arbitration clause in contract).</w:t>
      </w:r>
    </w:p>
    <w:p>
      <w:pPr>
        <w:pStyle w:val="Normal"/>
        <w:jc w:val="both"/>
        <w:rPr/>
      </w:pPr>
      <w:r>
        <w:rPr/>
      </w:r>
    </w:p>
    <w:p>
      <w:pPr>
        <w:pStyle w:val="Normal"/>
        <w:jc w:val="both"/>
        <w:rPr/>
      </w:pPr>
      <w:r>
        <w:rPr/>
        <w:t>Appeals court explicitly rejected argument that “infinite rolling” feature meant HTA’s should be considered futures agreements.  See text of decision for further discussion, including citation of other federal court cases discussing HTAs.</w:t>
      </w:r>
    </w:p>
    <w:p>
      <w:pPr>
        <w:pStyle w:val="Normal"/>
        <w:jc w:val="both"/>
        <w:rPr/>
      </w:pPr>
      <w:r>
        <w:rPr/>
      </w:r>
    </w:p>
    <w:p>
      <w:pPr>
        <w:pStyle w:val="Normal"/>
        <w:jc w:val="both"/>
        <w:rPr/>
      </w:pPr>
      <w:r>
        <w:rPr>
          <w:i/>
          <w:iCs/>
        </w:rPr>
        <w:t>Nagel et al v. ADM Investor Services, Inc. et al.</w:t>
      </w:r>
      <w:r>
        <w:rPr/>
        <w:t xml:space="preserve"> (U.S., Northern District, Illinois; 8/23/99)</w:t>
      </w:r>
    </w:p>
    <w:p>
      <w:pPr>
        <w:pStyle w:val="Normal"/>
        <w:jc w:val="both"/>
        <w:rPr/>
      </w:pPr>
      <w:r>
        <w:rPr/>
      </w:r>
    </w:p>
    <w:p>
      <w:pPr>
        <w:pStyle w:val="Normal"/>
        <w:jc w:val="both"/>
        <w:rPr/>
      </w:pPr>
      <w:r>
        <w:rPr/>
        <w:t>Plaintiff farmers sought to set aside arbitration clauses in HTA contracts.  Court ruled that HTAs are “forward” contracts, are enforceable, and are outside regulatory purview of CFTC.  (lengthy discussion openly critical of CFTC analysis of HTA’s, even suggesting that CFTC’s HTA analysis in the agriculture arena is at odds with its analysis in certain decisions involving crude oil).</w:t>
      </w:r>
    </w:p>
    <w:p>
      <w:pPr>
        <w:pStyle w:val="Normal"/>
        <w:jc w:val="both"/>
        <w:rPr>
          <w:i/>
          <w:i/>
          <w:iCs/>
        </w:rPr>
      </w:pPr>
      <w:r>
        <w:rPr>
          <w:i/>
          <w:iCs/>
        </w:rPr>
      </w:r>
    </w:p>
    <w:p>
      <w:pPr>
        <w:pStyle w:val="Normal"/>
        <w:jc w:val="both"/>
        <w:rPr/>
      </w:pPr>
      <w:r>
        <w:rPr>
          <w:i/>
          <w:iCs/>
        </w:rPr>
        <w:t xml:space="preserve">Lachmund v. ADM Investor Services, Inc. et al. </w:t>
      </w:r>
      <w:r>
        <w:rPr/>
        <w:t>(USCA, 7</w:t>
      </w:r>
      <w:r>
        <w:rPr>
          <w:vertAlign w:val="superscript"/>
        </w:rPr>
        <w:t>th</w:t>
      </w:r>
      <w:r>
        <w:rPr/>
        <w:t xml:space="preserve"> Cir., 9/13/99)</w:t>
      </w:r>
    </w:p>
    <w:p>
      <w:pPr>
        <w:pStyle w:val="Normal"/>
        <w:jc w:val="both"/>
        <w:rPr/>
      </w:pPr>
      <w:r>
        <w:rPr/>
      </w:r>
    </w:p>
    <w:p>
      <w:pPr>
        <w:pStyle w:val="Normal"/>
        <w:jc w:val="both"/>
        <w:rPr/>
      </w:pPr>
      <w:r>
        <w:rPr/>
        <w:t>Plaintiff-appellant farmer entered into several HTA contracts with defendant-respondent food marketer for sale of grain.  Plaintiff brought in federal district court (Northern District of Indiana) claims under CEA and RICO; district court granted defendant’s motion to dismiss all federal (CEA and RICO) claims.  Dismissal of CEA claims was based on finding that HTA constitutes “forward” contract.  Dismissal affirmed.</w:t>
      </w:r>
    </w:p>
    <w:p>
      <w:pPr>
        <w:pStyle w:val="Normal"/>
        <w:jc w:val="both"/>
        <w:rPr/>
      </w:pPr>
      <w:r>
        <w:rPr/>
      </w:r>
    </w:p>
    <w:p>
      <w:pPr>
        <w:pStyle w:val="Heading3"/>
        <w:ind w:hanging="0" w:start="0"/>
        <w:rPr/>
      </w:pPr>
      <w:r>
        <w:rPr/>
        <w:t xml:space="preserve">Harter v. Iowa Grain et al </w:t>
      </w:r>
      <w:r>
        <w:rPr>
          <w:i w:val="false"/>
          <w:iCs w:val="false"/>
        </w:rPr>
        <w:t>(USCA, 7</w:t>
      </w:r>
      <w:r>
        <w:rPr>
          <w:i w:val="false"/>
          <w:iCs w:val="false"/>
          <w:vertAlign w:val="superscript"/>
        </w:rPr>
        <w:t>th</w:t>
      </w:r>
      <w:r>
        <w:rPr>
          <w:i w:val="false"/>
          <w:iCs w:val="false"/>
        </w:rPr>
        <w:t xml:space="preserve"> Cir; 4/21/00)</w:t>
      </w:r>
    </w:p>
    <w:p>
      <w:pPr>
        <w:pStyle w:val="Normal"/>
        <w:rPr>
          <w:i/>
          <w:i/>
          <w:iCs/>
        </w:rPr>
      </w:pPr>
      <w:r>
        <w:rPr>
          <w:i/>
          <w:iCs/>
        </w:rPr>
      </w:r>
    </w:p>
    <w:p>
      <w:pPr>
        <w:pStyle w:val="BodyTextIndent"/>
        <w:ind w:hanging="0" w:end="0"/>
        <w:rPr/>
      </w:pPr>
      <w:r>
        <w:rPr/>
        <w:t>Plaintiff-appellant farmer entered into several HTAs with defendant/respondent grain elevator.  Plaintiff-appellants sought in federal district court to set aside arbitration clause of HTA’s, based on argument that HTA’s are futures contract and thus entering into them off-exchange was illegal.  District court confirmed arbitration award.  COA upholds.  COA did not consider whether HTA’s are “futures/forwards”, but held that legality of HTAs itself is proper subject for arbitration, citing Federal Arbitration Act.</w:t>
      </w:r>
    </w:p>
    <w:p>
      <w:pPr>
        <w:pStyle w:val="Normal"/>
        <w:jc w:val="both"/>
        <w:rPr/>
      </w:pPr>
      <w:r>
        <w:rPr/>
      </w:r>
    </w:p>
    <w:p>
      <w:pPr>
        <w:pStyle w:val="Normal"/>
        <w:jc w:val="both"/>
        <w:rPr/>
      </w:pPr>
      <w:r>
        <w:rPr/>
      </w:r>
    </w:p>
    <w:p>
      <w:pPr>
        <w:pStyle w:val="Heading2"/>
        <w:ind w:hanging="0" w:start="0"/>
        <w:rPr/>
      </w:pPr>
      <w:r>
        <w:rPr/>
      </w:r>
    </w:p>
    <w:p>
      <w:pPr>
        <w:pStyle w:val="Heading2"/>
        <w:ind w:hanging="0" w:start="0"/>
        <w:rPr/>
      </w:pPr>
      <w:r>
        <w:rPr/>
      </w:r>
    </w:p>
    <w:p>
      <w:pPr>
        <w:pStyle w:val="Normal"/>
        <w:jc w:val="both"/>
        <w:rPr>
          <w:b/>
          <w:bCs/>
        </w:rPr>
      </w:pPr>
      <w:r>
        <w:rPr>
          <w:b/>
          <w:bCs/>
        </w:rPr>
      </w:r>
    </w:p>
    <w:p>
      <w:pPr>
        <w:pStyle w:val="Normal"/>
        <w:ind w:firstLine="720" w:end="0"/>
        <w:jc w:val="both"/>
        <w:rPr>
          <w:b/>
          <w:bCs/>
        </w:rPr>
      </w:pPr>
      <w:r>
        <w:rPr>
          <w:b/>
          <w:bCs/>
        </w:rPr>
      </w:r>
    </w:p>
    <w:p>
      <w:pPr>
        <w:pStyle w:val="Normal"/>
        <w:ind w:firstLine="720" w:end="0"/>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jc w:val="both"/>
      <w:outlineLvl w:val="2"/>
    </w:pPr>
    <w:rPr>
      <w:i/>
      <w:iCs/>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2">
    <w:name w:val="Body Text 2"/>
    <w:basedOn w:val="Normal"/>
    <w:qFormat/>
    <w:pPr>
      <w:jc w:val="both"/>
    </w:pPr>
    <w:rPr>
      <w:i/>
      <w:i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2000-08-01T20:27:00Z</dcterms:created>
  <dc:creator>rbruce2</dc:creator>
  <dc:description/>
  <dc:language>en-CA</dc:language>
  <cp:lastModifiedBy>rbruce2</cp:lastModifiedBy>
  <dcterms:modified xsi:type="dcterms:W3CDTF">2000-08-01T21:23:00Z</dcterms:modified>
  <cp:revision>12</cp:revision>
  <dc:subject/>
  <dc:title>P 27,452  63 FR Page 63913 (11/17/98)</dc:title>
</cp:coreProperties>
</file>