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Outlined below are the issues that were discussed at the 11/14 meeting, along with the decision reached on each issue.  I’ve also included additional issues that were not on the original policy issues list but that were discussed and a decision reached.  I’ve indicated the decisions or responses to the issues in “blue” for easier reference. </w:t>
      </w:r>
    </w:p>
    <w:p>
      <w:pPr>
        <w:pStyle w:val="Normal"/>
        <w:rPr>
          <w:sz w:val="28"/>
        </w:rPr>
      </w:pPr>
      <w:r>
        <w:rPr>
          <w:sz w:val="28"/>
        </w:rPr>
      </w:r>
    </w:p>
    <w:p>
      <w:pPr>
        <w:pStyle w:val="Normal"/>
        <w:rPr>
          <w:color w:val="000000"/>
        </w:rPr>
      </w:pPr>
      <w:r>
        <w:rPr>
          <w:color w:val="000000"/>
        </w:rPr>
        <w:t>ESPs in Attendance:</w:t>
      </w:r>
    </w:p>
    <w:p>
      <w:pPr>
        <w:pStyle w:val="Normal"/>
        <w:rPr>
          <w:color w:val="000000"/>
        </w:rPr>
      </w:pPr>
      <w:r>
        <w:rPr>
          <w:color w:val="000000"/>
        </w:rPr>
      </w:r>
    </w:p>
    <w:p>
      <w:pPr>
        <w:pStyle w:val="Normal"/>
        <w:rPr>
          <w:color w:val="000000"/>
        </w:rPr>
      </w:pPr>
      <w:r>
        <w:rPr>
          <w:color w:val="000000"/>
        </w:rPr>
        <w:t xml:space="preserve">Bill Chen -  New Energy </w:t>
      </w:r>
    </w:p>
    <w:p>
      <w:pPr>
        <w:pStyle w:val="Normal"/>
        <w:rPr>
          <w:color w:val="000000"/>
        </w:rPr>
      </w:pPr>
      <w:r>
        <w:rPr>
          <w:color w:val="000000"/>
        </w:rPr>
        <w:t>Janie Mollon -  New West Energy</w:t>
      </w:r>
    </w:p>
    <w:p>
      <w:pPr>
        <w:pStyle w:val="Normal"/>
        <w:rPr>
          <w:color w:val="000000"/>
        </w:rPr>
      </w:pPr>
      <w:r>
        <w:rPr>
          <w:color w:val="000000"/>
        </w:rPr>
        <w:t xml:space="preserve">Scott Fulmer  -  New West Energy </w:t>
      </w:r>
    </w:p>
    <w:p>
      <w:pPr>
        <w:pStyle w:val="Normal"/>
        <w:rPr>
          <w:color w:val="000000"/>
        </w:rPr>
      </w:pPr>
      <w:r>
        <w:rPr>
          <w:color w:val="000000"/>
        </w:rPr>
        <w:t>Marcie Milner  -  Enron</w:t>
      </w:r>
    </w:p>
    <w:p>
      <w:pPr>
        <w:pStyle w:val="Normal"/>
        <w:rPr>
          <w:color w:val="000000"/>
        </w:rPr>
      </w:pPr>
      <w:r>
        <w:rPr>
          <w:color w:val="000000"/>
        </w:rPr>
        <w:t xml:space="preserve">Katherine Hammack  -  APS Energy Services </w:t>
      </w:r>
    </w:p>
    <w:p>
      <w:pPr>
        <w:pStyle w:val="Normal"/>
        <w:rPr>
          <w:color w:val="000000"/>
          <w:sz w:val="28"/>
        </w:rPr>
      </w:pPr>
      <w:r>
        <w:rPr>
          <w:color w:val="000000"/>
          <w:sz w:val="28"/>
        </w:rPr>
      </w:r>
    </w:p>
    <w:p>
      <w:pPr>
        <w:pStyle w:val="Normal"/>
        <w:jc w:val="center"/>
        <w:rPr>
          <w:b/>
          <w:sz w:val="28"/>
        </w:rPr>
      </w:pPr>
      <w:r>
        <w:rPr>
          <w:b/>
          <w:sz w:val="28"/>
        </w:rPr>
      </w:r>
    </w:p>
    <w:p>
      <w:pPr>
        <w:pStyle w:val="Normal"/>
        <w:jc w:val="center"/>
        <w:rPr>
          <w:b/>
          <w:sz w:val="28"/>
        </w:rPr>
      </w:pPr>
      <w:r>
        <w:rPr>
          <w:b/>
          <w:sz w:val="28"/>
        </w:rPr>
      </w:r>
    </w:p>
    <w:p>
      <w:pPr>
        <w:pStyle w:val="Normal"/>
        <w:numPr>
          <w:ilvl w:val="0"/>
          <w:numId w:val="3"/>
        </w:numPr>
        <w:rPr/>
      </w:pPr>
      <w:r>
        <w:rPr/>
        <w:t xml:space="preserve">Mailing Criteria </w:t>
      </w:r>
    </w:p>
    <w:p>
      <w:pPr>
        <w:pStyle w:val="Normal"/>
        <w:numPr>
          <w:ilvl w:val="0"/>
          <w:numId w:val="4"/>
        </w:numPr>
        <w:rPr/>
      </w:pPr>
      <w:r>
        <w:rPr/>
        <w:t>Customers versus Accounts</w:t>
      </w:r>
    </w:p>
    <w:p>
      <w:pPr>
        <w:pStyle w:val="Normal"/>
        <w:numPr>
          <w:ilvl w:val="0"/>
          <w:numId w:val="4"/>
        </w:numPr>
        <w:rPr/>
      </w:pPr>
      <w:r>
        <w:rPr/>
        <w:t xml:space="preserve">Use Unique Customer Name &amp; Mailing Address </w:t>
      </w:r>
    </w:p>
    <w:p>
      <w:pPr>
        <w:pStyle w:val="Normal"/>
        <w:rPr/>
      </w:pPr>
      <w:r>
        <w:rPr/>
      </w:r>
    </w:p>
    <w:p>
      <w:pPr>
        <w:pStyle w:val="Normal"/>
        <w:rPr>
          <w:color w:val="0000FF"/>
        </w:rPr>
      </w:pPr>
      <w:r>
        <w:rPr>
          <w:color w:val="0000FF"/>
        </w:rPr>
        <w:t xml:space="preserve">Agreement to use unique customer name and mailing address as criteria for mailing.    As of 11/14/00 SDG&amp;E has identified approximately 11,300 customers over 20kw.   </w:t>
      </w:r>
    </w:p>
    <w:p>
      <w:pPr>
        <w:pStyle w:val="Normal"/>
        <w:rPr>
          <w:color w:val="0000FF"/>
        </w:rPr>
      </w:pPr>
      <w:r>
        <w:rPr>
          <w:color w:val="0000FF"/>
        </w:rPr>
      </w:r>
    </w:p>
    <w:p>
      <w:pPr>
        <w:pStyle w:val="Normal"/>
        <w:rPr>
          <w:color w:val="0000FF"/>
          <w:sz w:val="28"/>
        </w:rPr>
      </w:pPr>
      <w:r>
        <w:rPr>
          <w:color w:val="0000FF"/>
          <w:sz w:val="28"/>
        </w:rPr>
      </w:r>
    </w:p>
    <w:p>
      <w:pPr>
        <w:pStyle w:val="Normal"/>
        <w:numPr>
          <w:ilvl w:val="0"/>
          <w:numId w:val="3"/>
        </w:numPr>
        <w:rPr/>
      </w:pPr>
      <w:r>
        <w:rPr/>
        <w:t xml:space="preserve">How to Handle Customers who have both DA &amp; Non- DA Accounts </w:t>
      </w:r>
    </w:p>
    <w:p>
      <w:pPr>
        <w:pStyle w:val="Normal"/>
        <w:numPr>
          <w:ilvl w:val="0"/>
          <w:numId w:val="4"/>
        </w:numPr>
        <w:rPr/>
      </w:pPr>
      <w:r>
        <w:rPr/>
        <w:t xml:space="preserve">Approximately 100 customers fall into this category </w:t>
      </w:r>
    </w:p>
    <w:p>
      <w:pPr>
        <w:pStyle w:val="Normal"/>
        <w:rPr>
          <w:sz w:val="28"/>
        </w:rPr>
      </w:pPr>
      <w:r>
        <w:rPr>
          <w:sz w:val="28"/>
        </w:rPr>
      </w:r>
    </w:p>
    <w:p>
      <w:pPr>
        <w:pStyle w:val="Normal"/>
        <w:rPr/>
      </w:pPr>
      <w:r>
        <w:rPr>
          <w:color w:val="0000FF"/>
        </w:rPr>
        <w:t>Agreement to include these customers as well in mailing</w:t>
      </w:r>
      <w:r>
        <w:rPr>
          <w:color w:val="0000FF"/>
          <w:sz w:val="28"/>
        </w:rPr>
        <w:t xml:space="preserve">. </w:t>
      </w:r>
    </w:p>
    <w:p>
      <w:pPr>
        <w:pStyle w:val="Normal"/>
        <w:rPr>
          <w:color w:val="0000FF"/>
          <w:sz w:val="28"/>
        </w:rPr>
      </w:pPr>
      <w:r>
        <w:rPr>
          <w:color w:val="0000FF"/>
          <w:sz w:val="28"/>
        </w:rPr>
      </w:r>
    </w:p>
    <w:p>
      <w:pPr>
        <w:pStyle w:val="Normal"/>
        <w:rPr>
          <w:sz w:val="28"/>
        </w:rPr>
      </w:pPr>
      <w:r>
        <w:rPr>
          <w:sz w:val="28"/>
        </w:rPr>
      </w:r>
    </w:p>
    <w:p>
      <w:pPr>
        <w:pStyle w:val="Normal"/>
        <w:numPr>
          <w:ilvl w:val="0"/>
          <w:numId w:val="3"/>
        </w:numPr>
        <w:rPr/>
      </w:pPr>
      <w:r>
        <w:rPr/>
        <w:t>Options for assisting in “customer self-selection” process</w:t>
      </w:r>
    </w:p>
    <w:p>
      <w:pPr>
        <w:pStyle w:val="Normal"/>
        <w:rPr>
          <w:sz w:val="28"/>
        </w:rPr>
      </w:pPr>
      <w:r>
        <w:rPr>
          <w:sz w:val="28"/>
        </w:rPr>
      </w:r>
    </w:p>
    <w:p>
      <w:pPr>
        <w:pStyle w:val="BodyTextIndent3"/>
        <w:rPr/>
      </w:pPr>
      <w:r>
        <w:rPr/>
        <w:t>SDG&amp;E has identified three possible options.  All three have pros &amp; cons, which along with the details of each option, will be discussed at the meeting.   The three options are:</w:t>
      </w:r>
    </w:p>
    <w:p>
      <w:pPr>
        <w:pStyle w:val="BodyTextIndent3"/>
        <w:rPr/>
      </w:pPr>
      <w:r>
        <w:rPr/>
      </w:r>
    </w:p>
    <w:p>
      <w:pPr>
        <w:pStyle w:val="BodyTextIndent3"/>
        <w:numPr>
          <w:ilvl w:val="0"/>
          <w:numId w:val="2"/>
        </w:numPr>
        <w:rPr/>
      </w:pPr>
      <w:r>
        <w:rPr/>
        <w:t xml:space="preserve">SDG&amp;E does more up front work to qualify customers before mailing. </w:t>
      </w:r>
    </w:p>
    <w:p>
      <w:pPr>
        <w:pStyle w:val="BodyTextIndent3"/>
        <w:numPr>
          <w:ilvl w:val="0"/>
          <w:numId w:val="2"/>
        </w:numPr>
        <w:rPr>
          <w:sz w:val="28"/>
        </w:rPr>
      </w:pPr>
      <w:r>
        <w:rPr/>
        <w:t xml:space="preserve">Information is included in the mailer for customer to self-select/qualify themselves. </w:t>
      </w:r>
    </w:p>
    <w:p>
      <w:pPr>
        <w:pStyle w:val="BodyTextIndent3"/>
        <w:numPr>
          <w:ilvl w:val="0"/>
          <w:numId w:val="2"/>
        </w:numPr>
        <w:rPr/>
      </w:pPr>
      <w:r>
        <w:rPr/>
        <w:t>No self- selection done prior to mailing or by customer.  Qualifying done after reply card received.</w:t>
      </w:r>
    </w:p>
    <w:p>
      <w:pPr>
        <w:pStyle w:val="BodyTextIndent3"/>
        <w:rPr>
          <w:sz w:val="28"/>
        </w:rPr>
      </w:pPr>
      <w:r>
        <w:rPr>
          <w:sz w:val="28"/>
        </w:rPr>
      </w:r>
    </w:p>
    <w:p>
      <w:pPr>
        <w:pStyle w:val="BodyTextIndent3"/>
        <w:ind w:start="720" w:end="0"/>
        <w:rPr/>
      </w:pPr>
      <w:r>
        <w:rPr>
          <w:color w:val="0000FF"/>
        </w:rPr>
        <w:t>Agreement by group to go with option “a’’, contingent on internal approval by SDG&amp;E legal and management.    Strategic Energy &amp; Tenderland have also agreed with this option</w:t>
      </w:r>
      <w:r>
        <w:rPr/>
        <w:t xml:space="preserve">. </w:t>
      </w:r>
    </w:p>
    <w:p>
      <w:pPr>
        <w:pStyle w:val="BodyTextIndent3"/>
        <w:rPr/>
      </w:pPr>
      <w:r>
        <w:rPr/>
      </w:r>
    </w:p>
    <w:p>
      <w:pPr>
        <w:pStyle w:val="BodyTextIndent3"/>
        <w:rPr>
          <w:sz w:val="28"/>
        </w:rPr>
      </w:pPr>
      <w:r>
        <w:rPr>
          <w:sz w:val="28"/>
        </w:rPr>
      </w:r>
    </w:p>
    <w:p>
      <w:pPr>
        <w:pStyle w:val="Normal"/>
        <w:numPr>
          <w:ilvl w:val="0"/>
          <w:numId w:val="3"/>
        </w:numPr>
        <w:rPr/>
      </w:pPr>
      <w:r>
        <w:rPr/>
        <w:t xml:space="preserve">Reply Card &amp; Address Labels </w:t>
      </w:r>
    </w:p>
    <w:p>
      <w:pPr>
        <w:pStyle w:val="Normal"/>
        <w:numPr>
          <w:ilvl w:val="0"/>
          <w:numId w:val="4"/>
        </w:numPr>
        <w:rPr/>
      </w:pPr>
      <w:r>
        <w:rPr/>
        <w:t xml:space="preserve">Changes to Reply Card </w:t>
      </w:r>
    </w:p>
    <w:p>
      <w:pPr>
        <w:pStyle w:val="Normal"/>
        <w:numPr>
          <w:ilvl w:val="0"/>
          <w:numId w:val="4"/>
        </w:numPr>
        <w:rPr/>
      </w:pPr>
      <w:r>
        <w:rPr/>
        <w:t xml:space="preserve">How best to get mailer to correct person (who to address to?) </w:t>
      </w:r>
    </w:p>
    <w:p>
      <w:pPr>
        <w:pStyle w:val="Normal"/>
        <w:rPr/>
      </w:pPr>
      <w:r>
        <w:rPr/>
      </w:r>
    </w:p>
    <w:p>
      <w:pPr>
        <w:pStyle w:val="Normal"/>
        <w:numPr>
          <w:ilvl w:val="0"/>
          <w:numId w:val="9"/>
        </w:numPr>
        <w:rPr>
          <w:color w:val="0000FF"/>
        </w:rPr>
      </w:pPr>
      <w:r>
        <w:rPr>
          <w:color w:val="0000FF"/>
        </w:rPr>
        <w:t xml:space="preserve">Agreement by group to list ESPs individually on reply card.  Strategic Energy and Tenderland have also agreed with this approach.   In addition, SDGE’s Corporate Communications is also in agreement with this approach. </w:t>
      </w:r>
    </w:p>
    <w:p>
      <w:pPr>
        <w:pStyle w:val="Normal"/>
        <w:numPr>
          <w:ilvl w:val="0"/>
          <w:numId w:val="9"/>
        </w:numPr>
        <w:rPr>
          <w:color w:val="0000FF"/>
        </w:rPr>
      </w:pPr>
      <w:r>
        <w:rPr>
          <w:color w:val="0000FF"/>
        </w:rPr>
        <w:t xml:space="preserve">Reply card will now have each participating ESP listed individually with a box next to their name and an “all” box where the customer can simply check one box and have their consumption information sent to all ESPs identified as serving their needs.  </w:t>
      </w:r>
    </w:p>
    <w:p>
      <w:pPr>
        <w:pStyle w:val="Normal"/>
        <w:numPr>
          <w:ilvl w:val="0"/>
          <w:numId w:val="7"/>
        </w:numPr>
        <w:rPr>
          <w:color w:val="0000FF"/>
        </w:rPr>
      </w:pPr>
      <w:r>
        <w:rPr>
          <w:color w:val="0000FF"/>
        </w:rPr>
        <w:t>The box and space for a customer to write-in only those ESPs they want their information to go to has been removed as a result of listing all ESPs individually.</w:t>
      </w:r>
    </w:p>
    <w:p>
      <w:pPr>
        <w:pStyle w:val="Normal"/>
        <w:numPr>
          <w:ilvl w:val="0"/>
          <w:numId w:val="9"/>
        </w:numPr>
        <w:rPr>
          <w:color w:val="0000FF"/>
        </w:rPr>
      </w:pPr>
      <w:r>
        <w:rPr>
          <w:color w:val="0000FF"/>
        </w:rPr>
        <w:t>Agreement by group that mailer will be sent “Attention CFO/Energy Manager”.</w:t>
      </w:r>
    </w:p>
    <w:p>
      <w:pPr>
        <w:pStyle w:val="Normal"/>
        <w:rPr>
          <w:color w:val="0000FF"/>
        </w:rPr>
      </w:pPr>
      <w:r>
        <w:rPr>
          <w:color w:val="0000FF"/>
        </w:rPr>
      </w:r>
    </w:p>
    <w:p>
      <w:pPr>
        <w:pStyle w:val="Normal"/>
        <w:rPr>
          <w:color w:val="0000FF"/>
        </w:rPr>
      </w:pPr>
      <w:r>
        <w:rPr>
          <w:color w:val="0000FF"/>
        </w:rPr>
      </w:r>
    </w:p>
    <w:p>
      <w:pPr>
        <w:pStyle w:val="Normal"/>
        <w:numPr>
          <w:ilvl w:val="0"/>
          <w:numId w:val="3"/>
        </w:numPr>
        <w:rPr/>
      </w:pPr>
      <w:r>
        <w:rPr/>
        <w:t xml:space="preserve">Snipe on Envelope </w:t>
      </w:r>
    </w:p>
    <w:p>
      <w:pPr>
        <w:pStyle w:val="Normal"/>
        <w:numPr>
          <w:ilvl w:val="0"/>
          <w:numId w:val="4"/>
        </w:numPr>
        <w:rPr/>
      </w:pPr>
      <w:r>
        <w:rPr/>
        <w:t xml:space="preserve">Discuss options for snipe &amp; agree on language </w:t>
      </w:r>
    </w:p>
    <w:p>
      <w:pPr>
        <w:pStyle w:val="Normal"/>
        <w:rPr>
          <w:sz w:val="28"/>
        </w:rPr>
      </w:pPr>
      <w:r>
        <w:rPr>
          <w:sz w:val="28"/>
        </w:rPr>
      </w:r>
    </w:p>
    <w:p>
      <w:pPr>
        <w:pStyle w:val="Normal"/>
        <w:numPr>
          <w:ilvl w:val="0"/>
          <w:numId w:val="8"/>
        </w:numPr>
        <w:rPr>
          <w:color w:val="0000FF"/>
        </w:rPr>
      </w:pPr>
      <w:r>
        <w:rPr>
          <w:color w:val="0000FF"/>
        </w:rPr>
        <w:t xml:space="preserve">Agreement to use “Energy Saving opportunities” on snipe.  Note:  Rick is concerned that we need to add “cost”, indicating Energy cost Saving opportunities” since the first option is commonly used for energy efficiency savings communications.    </w:t>
      </w:r>
    </w:p>
    <w:p>
      <w:pPr>
        <w:pStyle w:val="Normal"/>
        <w:rPr>
          <w:color w:val="0000FF"/>
          <w:sz w:val="28"/>
        </w:rPr>
      </w:pPr>
      <w:r>
        <w:rPr>
          <w:color w:val="0000FF"/>
          <w:sz w:val="28"/>
        </w:rPr>
      </w:r>
    </w:p>
    <w:p>
      <w:pPr>
        <w:pStyle w:val="Normal"/>
        <w:rPr>
          <w:sz w:val="28"/>
        </w:rPr>
      </w:pPr>
      <w:r>
        <w:rPr>
          <w:sz w:val="28"/>
        </w:rPr>
      </w:r>
    </w:p>
    <w:p>
      <w:pPr>
        <w:pStyle w:val="Normal"/>
        <w:numPr>
          <w:ilvl w:val="0"/>
          <w:numId w:val="3"/>
        </w:numPr>
        <w:rPr/>
      </w:pPr>
      <w:r>
        <w:rPr/>
        <w:t xml:space="preserve">Other channels for customer to get Direct Mailer   </w:t>
      </w:r>
    </w:p>
    <w:p>
      <w:pPr>
        <w:pStyle w:val="Normal"/>
        <w:numPr>
          <w:ilvl w:val="0"/>
          <w:numId w:val="4"/>
        </w:numPr>
        <w:rPr/>
      </w:pPr>
      <w:r>
        <w:rPr/>
        <w:t>Direct Mailer on SDG&amp;E website</w:t>
      </w:r>
    </w:p>
    <w:p>
      <w:pPr>
        <w:pStyle w:val="Normal"/>
        <w:numPr>
          <w:ilvl w:val="0"/>
          <w:numId w:val="4"/>
        </w:numPr>
        <w:rPr/>
      </w:pPr>
      <w:r>
        <w:rPr/>
        <w:t>Link to ESP’s website</w:t>
      </w:r>
    </w:p>
    <w:p>
      <w:pPr>
        <w:pStyle w:val="Normal"/>
        <w:numPr>
          <w:ilvl w:val="0"/>
          <w:numId w:val="4"/>
        </w:numPr>
        <w:rPr>
          <w:sz w:val="28"/>
        </w:rPr>
      </w:pPr>
      <w:r>
        <w:rPr/>
        <w:t>SDG&amp;E Account Executives</w:t>
      </w:r>
      <w:r>
        <w:rPr>
          <w:sz w:val="28"/>
        </w:rPr>
        <w:t xml:space="preserve"> </w:t>
      </w:r>
    </w:p>
    <w:p>
      <w:pPr>
        <w:pStyle w:val="Normal"/>
        <w:rPr>
          <w:sz w:val="28"/>
        </w:rPr>
      </w:pPr>
      <w:r>
        <w:rPr>
          <w:sz w:val="28"/>
        </w:rPr>
      </w:r>
    </w:p>
    <w:p>
      <w:pPr>
        <w:pStyle w:val="Normal"/>
        <w:numPr>
          <w:ilvl w:val="0"/>
          <w:numId w:val="5"/>
        </w:numPr>
        <w:rPr>
          <w:color w:val="0000FF"/>
        </w:rPr>
      </w:pPr>
      <w:r>
        <w:rPr>
          <w:color w:val="0000FF"/>
        </w:rPr>
        <w:t xml:space="preserve">Agreement to have SDG&amp;E add direct mailer to SDG&amp;E website and link to participating ESPs website contigent on SDG&amp;E personnel workload and availability. </w:t>
      </w:r>
    </w:p>
    <w:p>
      <w:pPr>
        <w:pStyle w:val="Normal"/>
        <w:numPr>
          <w:ilvl w:val="0"/>
          <w:numId w:val="5"/>
        </w:numPr>
        <w:rPr>
          <w:color w:val="0000FF"/>
        </w:rPr>
      </w:pPr>
      <w:r>
        <w:rPr>
          <w:color w:val="0000FF"/>
        </w:rPr>
        <w:t>Per ESPs request, SDG&amp;E will pursue option internally of providing SDG&amp;E Account Executives with collateral to be mailed or given to their customers.</w:t>
      </w:r>
    </w:p>
    <w:p>
      <w:pPr>
        <w:pStyle w:val="Normal"/>
        <w:numPr>
          <w:ilvl w:val="0"/>
          <w:numId w:val="6"/>
        </w:numPr>
        <w:rPr>
          <w:color w:val="0000FF"/>
        </w:rPr>
      </w:pPr>
      <w:r>
        <w:rPr>
          <w:color w:val="0000FF"/>
        </w:rPr>
        <w:t xml:space="preserve">SDG&amp;E’s Legal department has concerns surrounding the opening of the mailer for changes, and therefore will be unable to provide the ESPs with an electronic version of the mailer for ESPs to modify and use in marketing efforts with potential customers.  SDG&amp;E will provide participating ESPs an electronic version of the mailer in a PDF file. </w:t>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r>
    </w:p>
    <w:p>
      <w:pPr>
        <w:pStyle w:val="Normal"/>
        <w:rPr>
          <w:b/>
          <w:color w:val="0000FF"/>
          <w:sz w:val="28"/>
        </w:rPr>
      </w:pPr>
      <w:r>
        <w:rPr>
          <w:b/>
          <w:color w:val="0000FF"/>
          <w:sz w:val="28"/>
        </w:rPr>
        <w:t xml:space="preserve">Additional Items Discussed at the Meeting: </w:t>
      </w:r>
    </w:p>
    <w:p>
      <w:pPr>
        <w:pStyle w:val="Normal"/>
        <w:rPr>
          <w:b/>
          <w:color w:val="0000FF"/>
          <w:sz w:val="28"/>
        </w:rPr>
      </w:pPr>
      <w:r>
        <w:rPr>
          <w:b/>
          <w:color w:val="0000FF"/>
          <w:sz w:val="28"/>
        </w:rPr>
      </w:r>
    </w:p>
    <w:p>
      <w:pPr>
        <w:pStyle w:val="Normal"/>
        <w:rPr/>
      </w:pPr>
      <w:r>
        <w:rPr>
          <w:color w:val="0000FF"/>
        </w:rPr>
        <w:t>7.  ESPs agreed on the following columns for the ESP Chart</w:t>
      </w:r>
      <w:r>
        <w:rPr/>
        <w:t xml:space="preserve"> </w:t>
      </w:r>
    </w:p>
    <w:p>
      <w:pPr>
        <w:pStyle w:val="Normal"/>
        <w:rPr>
          <w:sz w:val="28"/>
        </w:rPr>
      </w:pPr>
      <w:r>
        <w:rPr>
          <w:sz w:val="28"/>
        </w:rPr>
      </w:r>
    </w:p>
    <w:tbl>
      <w:tblPr>
        <w:tblW w:w="8940" w:type="dxa"/>
        <w:jc w:val="start"/>
        <w:tblInd w:w="0" w:type="dxa"/>
        <w:tblLayout w:type="fixed"/>
        <w:tblCellMar>
          <w:top w:w="0" w:type="dxa"/>
          <w:start w:w="108" w:type="dxa"/>
          <w:bottom w:w="0" w:type="dxa"/>
          <w:end w:w="108" w:type="dxa"/>
        </w:tblCellMar>
      </w:tblPr>
      <w:tblGrid>
        <w:gridCol w:w="1788"/>
        <w:gridCol w:w="1788"/>
        <w:gridCol w:w="1788"/>
        <w:gridCol w:w="1788"/>
        <w:gridCol w:w="1788"/>
      </w:tblGrid>
      <w:tr>
        <w:trPr/>
        <w:tc>
          <w:tcPr>
            <w:tcW w:w="1788" w:type="dxa"/>
            <w:tcBorders>
              <w:top w:val="single" w:sz="4" w:space="0" w:color="000000"/>
              <w:start w:val="single" w:sz="4" w:space="0" w:color="000000"/>
              <w:bottom w:val="single" w:sz="4" w:space="0" w:color="000000"/>
              <w:end w:val="single" w:sz="4" w:space="0" w:color="000000"/>
            </w:tcBorders>
          </w:tcPr>
          <w:p>
            <w:pPr>
              <w:pStyle w:val="Normal"/>
              <w:rPr>
                <w:color w:val="0000FF"/>
                <w:sz w:val="20"/>
              </w:rPr>
            </w:pPr>
            <w:r>
              <w:rPr>
                <w:color w:val="0000FF"/>
                <w:sz w:val="20"/>
              </w:rPr>
              <w:t xml:space="preserve">Logo </w:t>
            </w:r>
          </w:p>
          <w:p>
            <w:pPr>
              <w:pStyle w:val="Normal"/>
              <w:rPr>
                <w:color w:val="0000FF"/>
                <w:sz w:val="20"/>
              </w:rPr>
            </w:pPr>
            <w:r>
              <w:rPr>
                <w:color w:val="0000FF"/>
                <w:sz w:val="20"/>
              </w:rPr>
              <w:t>Company Name</w:t>
            </w:r>
          </w:p>
        </w:tc>
        <w:tc>
          <w:tcPr>
            <w:tcW w:w="1788" w:type="dxa"/>
            <w:tcBorders>
              <w:top w:val="single" w:sz="4" w:space="0" w:color="000000"/>
              <w:start w:val="single" w:sz="4" w:space="0" w:color="000000"/>
              <w:bottom w:val="single" w:sz="4" w:space="0" w:color="000000"/>
              <w:end w:val="single" w:sz="4" w:space="0" w:color="000000"/>
            </w:tcBorders>
          </w:tcPr>
          <w:p>
            <w:pPr>
              <w:pStyle w:val="Normal"/>
              <w:rPr>
                <w:color w:val="0000FF"/>
                <w:sz w:val="20"/>
              </w:rPr>
            </w:pPr>
            <w:r>
              <w:rPr>
                <w:color w:val="0000FF"/>
                <w:sz w:val="20"/>
              </w:rPr>
              <w:t>Contact Name</w:t>
            </w:r>
          </w:p>
          <w:p>
            <w:pPr>
              <w:pStyle w:val="Normal"/>
              <w:rPr>
                <w:color w:val="0000FF"/>
                <w:sz w:val="20"/>
              </w:rPr>
            </w:pPr>
            <w:r>
              <w:rPr>
                <w:color w:val="0000FF"/>
                <w:sz w:val="20"/>
              </w:rPr>
              <w:t>Address</w:t>
            </w:r>
          </w:p>
          <w:p>
            <w:pPr>
              <w:pStyle w:val="Normal"/>
              <w:rPr>
                <w:color w:val="0000FF"/>
                <w:sz w:val="20"/>
              </w:rPr>
            </w:pPr>
            <w:r>
              <w:rPr>
                <w:color w:val="0000FF"/>
                <w:sz w:val="20"/>
              </w:rPr>
              <w:t>Phone</w:t>
            </w:r>
          </w:p>
          <w:p>
            <w:pPr>
              <w:pStyle w:val="Normal"/>
              <w:rPr>
                <w:color w:val="0000FF"/>
                <w:sz w:val="20"/>
              </w:rPr>
            </w:pPr>
            <w:r>
              <w:rPr>
                <w:color w:val="0000FF"/>
                <w:sz w:val="20"/>
              </w:rPr>
              <w:t>E-mail Address</w:t>
            </w:r>
          </w:p>
        </w:tc>
        <w:tc>
          <w:tcPr>
            <w:tcW w:w="1788" w:type="dxa"/>
            <w:tcBorders>
              <w:top w:val="single" w:sz="4" w:space="0" w:color="000000"/>
              <w:start w:val="single" w:sz="4" w:space="0" w:color="000000"/>
              <w:bottom w:val="single" w:sz="4" w:space="0" w:color="000000"/>
              <w:end w:val="single" w:sz="4" w:space="0" w:color="000000"/>
            </w:tcBorders>
          </w:tcPr>
          <w:p>
            <w:pPr>
              <w:pStyle w:val="Normal"/>
              <w:rPr>
                <w:color w:val="0000FF"/>
                <w:sz w:val="20"/>
              </w:rPr>
            </w:pPr>
            <w:r>
              <w:rPr>
                <w:color w:val="0000FF"/>
                <w:sz w:val="20"/>
              </w:rPr>
              <w:t xml:space="preserve">Customer  Segment ESP Serves  </w:t>
            </w:r>
          </w:p>
        </w:tc>
        <w:tc>
          <w:tcPr>
            <w:tcW w:w="1788" w:type="dxa"/>
            <w:tcBorders>
              <w:top w:val="single" w:sz="4" w:space="0" w:color="000000"/>
              <w:start w:val="single" w:sz="4" w:space="0" w:color="000000"/>
              <w:bottom w:val="single" w:sz="4" w:space="0" w:color="000000"/>
              <w:end w:val="single" w:sz="4" w:space="0" w:color="000000"/>
            </w:tcBorders>
          </w:tcPr>
          <w:p>
            <w:pPr>
              <w:pStyle w:val="Normal"/>
              <w:rPr>
                <w:color w:val="0000FF"/>
                <w:sz w:val="20"/>
              </w:rPr>
            </w:pPr>
            <w:r>
              <w:rPr>
                <w:color w:val="0000FF"/>
                <w:sz w:val="20"/>
              </w:rPr>
              <w:t>Products and</w:t>
            </w:r>
          </w:p>
          <w:p>
            <w:pPr>
              <w:pStyle w:val="Normal"/>
              <w:rPr>
                <w:color w:val="0000FF"/>
                <w:sz w:val="20"/>
              </w:rPr>
            </w:pPr>
            <w:r>
              <w:rPr>
                <w:color w:val="0000FF"/>
                <w:sz w:val="20"/>
              </w:rPr>
              <w:t xml:space="preserve">Services </w:t>
            </w:r>
          </w:p>
        </w:tc>
        <w:tc>
          <w:tcPr>
            <w:tcW w:w="1788" w:type="dxa"/>
            <w:tcBorders>
              <w:top w:val="single" w:sz="4" w:space="0" w:color="000000"/>
              <w:start w:val="single" w:sz="4" w:space="0" w:color="000000"/>
              <w:bottom w:val="single" w:sz="4" w:space="0" w:color="000000"/>
              <w:end w:val="single" w:sz="4" w:space="0" w:color="000000"/>
            </w:tcBorders>
          </w:tcPr>
          <w:p>
            <w:pPr>
              <w:pStyle w:val="Normal"/>
              <w:rPr>
                <w:color w:val="0000FF"/>
                <w:sz w:val="20"/>
              </w:rPr>
            </w:pPr>
            <w:r>
              <w:rPr>
                <w:color w:val="0000FF"/>
                <w:sz w:val="20"/>
              </w:rPr>
              <w:t xml:space="preserve">Company Description </w:t>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r>
      <w:tr>
        <w:trPr/>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c>
          <w:tcPr>
            <w:tcW w:w="1788"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sz w:val="28"/>
              </w:rPr>
            </w:pPr>
            <w:r>
              <w:rPr>
                <w:color w:val="0000FF"/>
                <w:sz w:val="28"/>
              </w:rPr>
            </w:r>
          </w:p>
        </w:tc>
      </w:tr>
    </w:tbl>
    <w:p>
      <w:pPr>
        <w:pStyle w:val="Normal"/>
        <w:rPr>
          <w:sz w:val="28"/>
        </w:rPr>
      </w:pPr>
      <w:r>
        <w:rPr>
          <w:sz w:val="28"/>
        </w:rPr>
      </w:r>
    </w:p>
    <w:p>
      <w:pPr>
        <w:pStyle w:val="Normal"/>
        <w:numPr>
          <w:ilvl w:val="0"/>
          <w:numId w:val="1"/>
        </w:numPr>
        <w:rPr>
          <w:color w:val="0000FF"/>
        </w:rPr>
      </w:pPr>
      <w:r>
        <w:rPr>
          <w:color w:val="0000FF"/>
        </w:rPr>
        <w:t xml:space="preserve">New West Energy indicated that their name must be all on one line. </w:t>
      </w:r>
    </w:p>
    <w:p>
      <w:pPr>
        <w:pStyle w:val="Normal"/>
        <w:numPr>
          <w:ilvl w:val="0"/>
          <w:numId w:val="1"/>
        </w:numPr>
        <w:rPr>
          <w:color w:val="0000FF"/>
        </w:rPr>
      </w:pPr>
      <w:r>
        <w:rPr>
          <w:color w:val="0000FF"/>
        </w:rPr>
        <w:t xml:space="preserve">Agreement and preference by group to have a separate column for “customer references” contingent upon all participating ESPs agreeing with this approach.  Follow- up: “Customer Reference column has been removed since not all ESPs are in agreement with having a separate column for this information.  SDG&amp;E is further checking internally to determine if there are concerns with including this information in Company Description.    </w:t>
      </w:r>
    </w:p>
    <w:p>
      <w:pPr>
        <w:pStyle w:val="Normal"/>
        <w:rPr>
          <w:color w:val="0000FF"/>
          <w:sz w:val="28"/>
        </w:rPr>
      </w:pPr>
      <w:r>
        <w:rPr>
          <w:color w:val="0000FF"/>
          <w:sz w:val="28"/>
        </w:rPr>
      </w:r>
    </w:p>
    <w:p>
      <w:pPr>
        <w:pStyle w:val="BodyText"/>
        <w:rPr/>
      </w:pPr>
      <w:r>
        <w:rPr/>
        <w:t xml:space="preserve">8.  ESPs requested to have most “senior” person possible at SDG&amp;E sign the letter.   SDG&amp;E will research the feasibility of this request. </w:t>
      </w:r>
    </w:p>
    <w:p>
      <w:pPr>
        <w:pStyle w:val="BodyText"/>
        <w:rPr/>
      </w:pPr>
      <w:r>
        <w:rPr/>
      </w:r>
    </w:p>
    <w:p>
      <w:pPr>
        <w:pStyle w:val="BodyText"/>
        <w:rPr/>
      </w:pPr>
      <w:r>
        <w:rPr/>
        <w:t xml:space="preserve">9.  Group agreed to a revised target launch date of late January or early February pending DA – AB265 decision.   </w:t>
      </w:r>
    </w:p>
    <w:sectPr>
      <w:type w:val="nextPage"/>
      <w:pgSz w:w="12240" w:h="15840"/>
      <w:pgMar w:left="864" w:right="86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lowerLetter"/>
      <w:lvlText w:val="%1)"/>
      <w:lvlJc w:val="start"/>
      <w:pPr>
        <w:tabs>
          <w:tab w:val="num" w:pos="1800"/>
        </w:tabs>
        <w:ind w:start="1800" w:hanging="360"/>
      </w:pPr>
      <w:rPr/>
    </w:lvl>
  </w:abstractNum>
  <w:abstractNum w:abstractNumId="3">
    <w:lvl w:ilvl="0">
      <w:start w:val="1"/>
      <w:numFmt w:val="decimal"/>
      <w:lvlText w:val="%1."/>
      <w:lvlJc w:val="start"/>
      <w:pPr>
        <w:tabs>
          <w:tab w:val="num" w:pos="360"/>
        </w:tabs>
        <w:ind w:start="360" w:hanging="360"/>
      </w:pPr>
    </w:lvl>
  </w:abstractNum>
  <w:abstractNum w:abstractNumId="4">
    <w:lvl w:ilvl="0">
      <w:numFmt w:val="bullet"/>
      <w:lvlText w:val="-"/>
      <w:lvlJc w:val="start"/>
      <w:pPr>
        <w:tabs>
          <w:tab w:val="num" w:pos="1800"/>
        </w:tabs>
        <w:ind w:start="1800" w:hanging="360"/>
      </w:pPr>
      <w:rPr>
        <w:rFonts w:ascii="Times New Roman" w:hAnsi="Times New Roman" w:cs="Times New Roman"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Times New Roman" w:hAnsi="Times New Roman" w:cs="Times New Roman"/>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Times New Roman" w:hAnsi="Times New Roman" w:cs="Times New Roman"/>
    </w:rPr>
  </w:style>
  <w:style w:type="character" w:styleId="WW8Num22z0">
    <w:name w:val="WW8Num22z0"/>
    <w:qFormat/>
    <w:rPr>
      <w:rFonts w:ascii="Times New Roman" w:hAnsi="Times New Roman" w:cs="Times New Roman"/>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Times New Roman" w:hAnsi="Times New Roman" w:cs="Times New Roman"/>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Times New Roman" w:hAnsi="Times New Roman" w:cs="Times New Roman"/>
    </w:rPr>
  </w:style>
  <w:style w:type="character" w:styleId="WW8Num31z0">
    <w:name w:val="WW8Num31z0"/>
    <w:qFormat/>
    <w:rPr>
      <w:rFonts w:ascii="Times New Roman" w:hAnsi="Times New Roman" w:cs="Times New Roman"/>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0" w:start="3600" w:end="0"/>
    </w:pPr>
    <w:rPr>
      <w:sz w:val="32"/>
    </w:rPr>
  </w:style>
  <w:style w:type="paragraph" w:styleId="BodyTextIndent2">
    <w:name w:val="Body Text Indent 2"/>
    <w:basedOn w:val="Normal"/>
    <w:qFormat/>
    <w:pPr>
      <w:ind w:hanging="720" w:start="1440" w:end="0"/>
    </w:pPr>
    <w:rPr>
      <w:sz w:val="28"/>
    </w:rPr>
  </w:style>
  <w:style w:type="paragraph" w:styleId="BodyTextIndent3">
    <w:name w:val="Body Text Indent 3"/>
    <w:basedOn w:val="Normal"/>
    <w:qFormat/>
    <w:pPr>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2000-11-20T23:03:00Z</dcterms:created>
  <dc:creator>Allison Patterson </dc:creator>
  <dc:description/>
  <dc:language>en-CA</dc:language>
  <cp:lastModifiedBy>Allison Patterson </cp:lastModifiedBy>
  <cp:lastPrinted>2000-11-20T16:43:00Z</cp:lastPrinted>
  <dcterms:modified xsi:type="dcterms:W3CDTF">2000-11-20T23:23:00Z</dcterms:modified>
  <cp:revision>3</cp:revision>
  <dc:subject/>
  <dc:title>Customer Choice Facilitation Program Meeting</dc:title>
</cp:coreProperties>
</file>