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720"/>
        <w:jc w:val="center"/>
        <w:rPr/>
      </w:pPr>
      <w:r>
        <w:rPr/>
        <w:t>BEFORE THE PUBLIC UTILITIES COMMISSION</w:t>
        <w:br/>
        <w:t>OF THE STATE OF CALIFORNIA</w:t>
      </w:r>
    </w:p>
    <w:tbl>
      <w:tblPr>
        <w:tblW w:w="9072" w:type="dxa"/>
        <w:jc w:val="start"/>
        <w:tblInd w:w="0" w:type="dxa"/>
        <w:tblLayout w:type="fixed"/>
        <w:tblCellMar>
          <w:top w:w="0" w:type="dxa"/>
          <w:start w:w="108" w:type="dxa"/>
          <w:bottom w:w="0" w:type="dxa"/>
          <w:end w:w="108" w:type="dxa"/>
        </w:tblCellMar>
      </w:tblPr>
      <w:tblGrid>
        <w:gridCol w:w="5688"/>
        <w:gridCol w:w="3384"/>
      </w:tblGrid>
      <w:tr>
        <w:trPr/>
        <w:tc>
          <w:tcPr>
            <w:tcW w:w="5688" w:type="dxa"/>
            <w:tcBorders>
              <w:bottom w:val="single" w:sz="6" w:space="0" w:color="000000"/>
              <w:end w:val="single" w:sz="6" w:space="0" w:color="000000"/>
            </w:tcBorders>
          </w:tcPr>
          <w:p>
            <w:pPr>
              <w:pStyle w:val="Normal"/>
              <w:rPr/>
            </w:pPr>
            <w:r>
              <w:rPr/>
              <w:t>Application of Southern California Edison Company for</w:t>
            </w:r>
          </w:p>
          <w:p>
            <w:pPr>
              <w:pStyle w:val="Normal"/>
              <w:rPr/>
            </w:pPr>
            <w:r>
              <w:rPr/>
              <w:t xml:space="preserve">Authority to Institute a Rate Stabilization Plan with a </w:t>
            </w:r>
          </w:p>
          <w:p>
            <w:pPr>
              <w:pStyle w:val="Normal"/>
              <w:pBdr>
                <w:bottom w:val="single" w:sz="12" w:space="1" w:color="000000"/>
              </w:pBdr>
              <w:rPr/>
            </w:pPr>
            <w:r>
              <w:rPr/>
              <w:t xml:space="preserve">Rate Increase and End of Rate Freeze Tariffs </w:t>
            </w:r>
          </w:p>
          <w:p>
            <w:pPr>
              <w:pStyle w:val="Normal"/>
              <w:rPr/>
            </w:pPr>
            <w:r>
              <w:rPr/>
            </w:r>
          </w:p>
          <w:p>
            <w:pPr>
              <w:pStyle w:val="Normal"/>
              <w:pBdr>
                <w:bottom w:val="single" w:sz="12" w:space="1" w:color="000000"/>
              </w:pBdr>
              <w:rPr/>
            </w:pPr>
            <w:r>
              <w:rPr/>
              <w:t>Emergency Application of Pacific Gas and Electric Company to Adopt a Rate Stabilization Plan</w:t>
            </w:r>
          </w:p>
          <w:p>
            <w:pPr>
              <w:pStyle w:val="Normal"/>
              <w:rPr/>
            </w:pPr>
            <w:r>
              <w:rPr/>
            </w:r>
          </w:p>
          <w:p>
            <w:pPr>
              <w:pStyle w:val="Normal"/>
              <w:rPr/>
            </w:pPr>
            <w:r>
              <w:rPr/>
              <w:t>Petition of the Utility Reform Network for Modification</w:t>
            </w:r>
          </w:p>
          <w:p>
            <w:pPr>
              <w:pStyle w:val="Normal"/>
              <w:rPr/>
            </w:pPr>
            <w:r>
              <w:rPr/>
              <w:t>of Resolution E-3527</w:t>
            </w:r>
          </w:p>
          <w:p>
            <w:pPr>
              <w:pStyle w:val="Normal"/>
              <w:rPr/>
            </w:pPr>
            <w:r>
              <w:rPr/>
            </w:r>
          </w:p>
        </w:tc>
        <w:tc>
          <w:tcPr>
            <w:tcW w:w="3384" w:type="dxa"/>
            <w:tcBorders/>
          </w:tcPr>
          <w:p>
            <w:pPr>
              <w:pStyle w:val="Normal"/>
              <w:tabs>
                <w:tab w:val="clear" w:pos="720"/>
                <w:tab w:val="left" w:pos="1872" w:leader="none"/>
              </w:tabs>
              <w:snapToGrid w:val="false"/>
              <w:jc w:val="center"/>
              <w:rPr/>
            </w:pPr>
            <w:r>
              <w:rPr/>
            </w:r>
          </w:p>
          <w:p>
            <w:pPr>
              <w:pStyle w:val="Normal"/>
              <w:tabs>
                <w:tab w:val="clear" w:pos="720"/>
                <w:tab w:val="left" w:pos="1872" w:leader="none"/>
              </w:tabs>
              <w:rPr/>
            </w:pPr>
            <w:r>
              <w:rPr/>
              <w:t>Application 00-11-038</w:t>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t>Application 00-11-056</w:t>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t>Application 00-10-028</w:t>
            </w:r>
          </w:p>
          <w:p>
            <w:pPr>
              <w:pStyle w:val="Normal"/>
              <w:tabs>
                <w:tab w:val="clear" w:pos="720"/>
                <w:tab w:val="left" w:pos="1872" w:leader="none"/>
              </w:tabs>
              <w:rPr/>
            </w:pPr>
            <w:r>
              <w:rPr/>
            </w:r>
          </w:p>
        </w:tc>
      </w:tr>
    </w:tbl>
    <w:p>
      <w:pPr>
        <w:pStyle w:val="Normal"/>
        <w:rPr/>
      </w:pPr>
      <w:r>
        <w:rPr/>
      </w:r>
    </w:p>
    <w:p>
      <w:pPr>
        <w:pStyle w:val="Normal"/>
        <w:rPr/>
      </w:pPr>
      <w:r>
        <w:rPr/>
      </w:r>
    </w:p>
    <w:p>
      <w:pPr>
        <w:pStyle w:val="Normal"/>
        <w:rPr/>
      </w:pPr>
      <w:r>
        <w:rPr/>
      </w:r>
    </w:p>
    <w:p>
      <w:pPr>
        <w:pStyle w:val="Normal"/>
        <w:jc w:val="center"/>
        <w:rPr>
          <w:b/>
        </w:rPr>
      </w:pPr>
      <w:r>
        <w:rPr>
          <w:b/>
        </w:rPr>
        <w:t xml:space="preserve">COMMENTS OF </w:t>
      </w:r>
    </w:p>
    <w:p>
      <w:pPr>
        <w:pStyle w:val="Normal"/>
        <w:jc w:val="center"/>
        <w:rPr>
          <w:b/>
        </w:rPr>
      </w:pPr>
      <w:r>
        <w:rPr>
          <w:b/>
        </w:rPr>
        <w:t>ENRON ENERGY SERVICES, INC.</w:t>
      </w:r>
    </w:p>
    <w:p>
      <w:pPr>
        <w:pStyle w:val="Normal"/>
        <w:jc w:val="center"/>
        <w:rPr>
          <w:b/>
        </w:rPr>
      </w:pPr>
      <w:r>
        <w:rPr>
          <w:b/>
        </w:rPr>
        <w:t xml:space="preserve">ON RATE DESIGN GOALS </w:t>
      </w:r>
    </w:p>
    <w:p>
      <w:pPr>
        <w:pStyle w:val="Normal"/>
        <w:jc w:val="center"/>
        <w:rPr>
          <w:b/>
        </w:rPr>
      </w:pPr>
      <w:r>
        <w:rPr>
          <w:b/>
        </w:rPr>
        <w:t xml:space="preserve"> </w:t>
      </w:r>
    </w:p>
    <w:p>
      <w:pPr>
        <w:pStyle w:val="Normal"/>
        <w:jc w:val="center"/>
        <w:rPr>
          <w:b/>
        </w:rPr>
      </w:pPr>
      <w:r>
        <w:rPr>
          <w:b/>
        </w:rPr>
      </w:r>
    </w:p>
    <w:p>
      <w:pPr>
        <w:pStyle w:val="Normal"/>
        <w:jc w:val="center"/>
        <w:rPr>
          <w:b/>
        </w:rPr>
      </w:pPr>
      <w:r>
        <w:rPr>
          <w:b/>
        </w:rPr>
      </w:r>
    </w:p>
    <w:p>
      <w:pPr>
        <w:pStyle w:val="Normal"/>
        <w:jc w:val="center"/>
        <w:rPr>
          <w:b/>
        </w:rPr>
      </w:pPr>
      <w:r>
        <w:rPr>
          <w:b/>
        </w:rPr>
      </w:r>
    </w:p>
    <w:tbl>
      <w:tblPr>
        <w:tblW w:w="10170" w:type="dxa"/>
        <w:jc w:val="start"/>
        <w:tblInd w:w="0" w:type="dxa"/>
        <w:tblLayout w:type="fixed"/>
        <w:tblCellMar>
          <w:top w:w="0" w:type="dxa"/>
          <w:start w:w="0" w:type="dxa"/>
          <w:bottom w:w="0" w:type="dxa"/>
          <w:end w:w="0" w:type="dxa"/>
        </w:tblCellMar>
      </w:tblPr>
      <w:tblGrid>
        <w:gridCol w:w="5130"/>
        <w:gridCol w:w="5040"/>
      </w:tblGrid>
      <w:tr>
        <w:trPr/>
        <w:tc>
          <w:tcPr>
            <w:tcW w:w="5130" w:type="dxa"/>
            <w:tcBorders/>
            <w:vAlign w:val="bottom"/>
          </w:tcPr>
          <w:p>
            <w:pPr>
              <w:pStyle w:val="Normal"/>
              <w:snapToGrid w:val="false"/>
              <w:spacing w:before="120" w:after="0"/>
              <w:rPr/>
            </w:pPr>
            <w:r>
              <w:rPr/>
            </w:r>
          </w:p>
          <w:p>
            <w:pPr>
              <w:pStyle w:val="Normal"/>
              <w:spacing w:before="120" w:after="0"/>
              <w:rPr/>
            </w:pPr>
            <w:r>
              <w:rPr/>
            </w:r>
          </w:p>
          <w:p>
            <w:pPr>
              <w:pStyle w:val="Normal"/>
              <w:spacing w:before="120" w:after="0"/>
              <w:rPr/>
            </w:pPr>
            <w:r>
              <w:rPr/>
            </w:r>
          </w:p>
          <w:p>
            <w:pPr>
              <w:pStyle w:val="Normal"/>
              <w:spacing w:before="120" w:after="0"/>
              <w:rPr/>
            </w:pPr>
            <w:r>
              <w:rPr/>
            </w:r>
          </w:p>
          <w:p>
            <w:pPr>
              <w:pStyle w:val="Normal"/>
              <w:spacing w:before="120" w:after="0"/>
              <w:rPr/>
            </w:pPr>
            <w:r>
              <w:rPr/>
            </w:r>
          </w:p>
          <w:p>
            <w:pPr>
              <w:pStyle w:val="Normal"/>
              <w:spacing w:before="120" w:after="0"/>
              <w:rPr/>
            </w:pPr>
            <w:r>
              <w:rPr/>
            </w:r>
          </w:p>
          <w:p>
            <w:pPr>
              <w:pStyle w:val="Normal"/>
              <w:spacing w:before="120" w:after="0"/>
              <w:rPr/>
            </w:pPr>
            <w:r>
              <w:rPr/>
              <w:t>Date: April 6, 2001</w:t>
            </w:r>
          </w:p>
          <w:p>
            <w:pPr>
              <w:pStyle w:val="Normal"/>
              <w:spacing w:before="120" w:after="0"/>
              <w:rPr/>
            </w:pPr>
            <w:r>
              <w:rPr/>
            </w:r>
          </w:p>
        </w:tc>
        <w:tc>
          <w:tcPr>
            <w:tcW w:w="5040" w:type="dxa"/>
            <w:tcBorders/>
            <w:vAlign w:val="bottom"/>
          </w:tcPr>
          <w:p>
            <w:pPr>
              <w:pStyle w:val="Normal"/>
              <w:rPr/>
            </w:pPr>
            <w:r>
              <w:rPr/>
              <w:t>GOODIN, MACBRIDE, SQUERI,</w:t>
              <w:br/>
              <w:t>RITCHIE &amp; DAY, LLP</w:t>
            </w:r>
          </w:p>
          <w:p>
            <w:pPr>
              <w:pStyle w:val="Normal"/>
              <w:rPr/>
            </w:pPr>
            <w:r>
              <w:rPr/>
              <w:t>Michael B. Day</w:t>
            </w:r>
          </w:p>
          <w:p>
            <w:pPr>
              <w:pStyle w:val="Normal"/>
              <w:rPr/>
            </w:pPr>
            <w:r>
              <w:rPr/>
              <w:t>Jeanne M. Bennett</w:t>
            </w:r>
          </w:p>
          <w:p>
            <w:pPr>
              <w:pStyle w:val="Normal"/>
              <w:rPr/>
            </w:pPr>
            <w:r>
              <w:rPr/>
              <w:t>505 Sansome Street, Suite 900</w:t>
              <w:br/>
              <w:t>San Francisco, CA  94111</w:t>
              <w:br/>
              <w:t>Telephone:</w:t>
              <w:tab/>
              <w:t>(415) 392-7900</w:t>
              <w:br/>
              <w:t>Facsimile:</w:t>
              <w:tab/>
              <w:t>(415) 398-4321</w:t>
            </w:r>
          </w:p>
          <w:p>
            <w:pPr>
              <w:pStyle w:val="Normal"/>
              <w:spacing w:before="240" w:after="0"/>
              <w:rPr/>
            </w:pPr>
            <w:r>
              <w:rPr/>
              <w:t>Attorneys for Enron Energy Services, Inc.</w:t>
              <w:br/>
            </w:r>
          </w:p>
        </w:tc>
      </w:tr>
    </w:tbl>
    <w:p>
      <w:pPr>
        <w:sectPr>
          <w:headerReference w:type="default" r:id="rId2"/>
          <w:headerReference w:type="first" r:id="rId3"/>
          <w:footerReference w:type="default" r:id="rId4"/>
          <w:footerReference w:type="first" r:id="rId5"/>
          <w:type w:val="nextPage"/>
          <w:pgSz w:w="12240" w:h="15840"/>
          <w:pgMar w:left="1440" w:right="1440" w:gutter="0" w:header="432" w:top="1440" w:footer="360" w:bottom="1440"/>
          <w:pgNumType w:fmt="decimal"/>
          <w:formProt w:val="false"/>
          <w:titlePg/>
          <w:textDirection w:val="lrTb"/>
          <w:docGrid w:type="default" w:linePitch="360" w:charSpace="0"/>
        </w:sectPr>
      </w:pPr>
    </w:p>
    <w:p>
      <w:pPr>
        <w:pStyle w:val="Normal"/>
        <w:spacing w:before="0" w:after="360"/>
        <w:jc w:val="center"/>
        <w:rPr/>
      </w:pPr>
      <w:r>
        <w:rPr/>
        <w:t>BEFORE THE PUBLIC UTILITIES COMMISSION</w:t>
        <w:br/>
        <w:t>OF THE STATE OF CALIFORNIA</w:t>
      </w:r>
    </w:p>
    <w:tbl>
      <w:tblPr>
        <w:tblW w:w="9072" w:type="dxa"/>
        <w:jc w:val="start"/>
        <w:tblInd w:w="0" w:type="dxa"/>
        <w:tblLayout w:type="fixed"/>
        <w:tblCellMar>
          <w:top w:w="0" w:type="dxa"/>
          <w:start w:w="108" w:type="dxa"/>
          <w:bottom w:w="0" w:type="dxa"/>
          <w:end w:w="108" w:type="dxa"/>
        </w:tblCellMar>
      </w:tblPr>
      <w:tblGrid>
        <w:gridCol w:w="5688"/>
        <w:gridCol w:w="3384"/>
      </w:tblGrid>
      <w:tr>
        <w:trPr/>
        <w:tc>
          <w:tcPr>
            <w:tcW w:w="5688" w:type="dxa"/>
            <w:tcBorders>
              <w:bottom w:val="single" w:sz="6" w:space="0" w:color="000000"/>
              <w:end w:val="single" w:sz="6" w:space="0" w:color="000000"/>
            </w:tcBorders>
          </w:tcPr>
          <w:p>
            <w:pPr>
              <w:pStyle w:val="Normal"/>
              <w:rPr/>
            </w:pPr>
            <w:r>
              <w:rPr/>
              <w:t>Application of Southern California Edison Company for</w:t>
            </w:r>
          </w:p>
          <w:p>
            <w:pPr>
              <w:pStyle w:val="Normal"/>
              <w:rPr/>
            </w:pPr>
            <w:r>
              <w:rPr/>
              <w:t xml:space="preserve">Authority to Institute a Rate Stabilization Plan with a </w:t>
            </w:r>
          </w:p>
          <w:p>
            <w:pPr>
              <w:pStyle w:val="Normal"/>
              <w:pBdr>
                <w:bottom w:val="single" w:sz="12" w:space="1" w:color="000000"/>
              </w:pBdr>
              <w:rPr/>
            </w:pPr>
            <w:r>
              <w:rPr/>
              <w:t xml:space="preserve">Rate Increase and End of Rate Freeze Tariffs </w:t>
            </w:r>
          </w:p>
          <w:p>
            <w:pPr>
              <w:pStyle w:val="Normal"/>
              <w:rPr/>
            </w:pPr>
            <w:r>
              <w:rPr/>
            </w:r>
          </w:p>
          <w:p>
            <w:pPr>
              <w:pStyle w:val="Normal"/>
              <w:pBdr>
                <w:bottom w:val="single" w:sz="12" w:space="1" w:color="000000"/>
              </w:pBdr>
              <w:rPr/>
            </w:pPr>
            <w:r>
              <w:rPr/>
              <w:t>Emergency Application of Pacific Gas and Electric Company to Adopt a Rate Stabilization Plan</w:t>
            </w:r>
          </w:p>
          <w:p>
            <w:pPr>
              <w:pStyle w:val="Normal"/>
              <w:rPr/>
            </w:pPr>
            <w:r>
              <w:rPr/>
            </w:r>
          </w:p>
          <w:p>
            <w:pPr>
              <w:pStyle w:val="Normal"/>
              <w:rPr/>
            </w:pPr>
            <w:r>
              <w:rPr/>
              <w:t>Petition of the Utility Reform Network for Modification</w:t>
            </w:r>
          </w:p>
          <w:p>
            <w:pPr>
              <w:pStyle w:val="Normal"/>
              <w:rPr/>
            </w:pPr>
            <w:r>
              <w:rPr/>
              <w:t>of Resolution E-3527</w:t>
            </w:r>
          </w:p>
          <w:p>
            <w:pPr>
              <w:pStyle w:val="Normal"/>
              <w:rPr/>
            </w:pPr>
            <w:r>
              <w:rPr/>
            </w:r>
          </w:p>
        </w:tc>
        <w:tc>
          <w:tcPr>
            <w:tcW w:w="3384" w:type="dxa"/>
            <w:tcBorders/>
          </w:tcPr>
          <w:p>
            <w:pPr>
              <w:pStyle w:val="Normal"/>
              <w:tabs>
                <w:tab w:val="clear" w:pos="720"/>
                <w:tab w:val="left" w:pos="1872" w:leader="none"/>
              </w:tabs>
              <w:snapToGrid w:val="false"/>
              <w:jc w:val="center"/>
              <w:rPr/>
            </w:pPr>
            <w:r>
              <w:rPr/>
            </w:r>
          </w:p>
          <w:p>
            <w:pPr>
              <w:pStyle w:val="Normal"/>
              <w:tabs>
                <w:tab w:val="clear" w:pos="720"/>
                <w:tab w:val="left" w:pos="1872" w:leader="none"/>
              </w:tabs>
              <w:rPr/>
            </w:pPr>
            <w:r>
              <w:rPr/>
              <w:t xml:space="preserve"> </w:t>
            </w:r>
            <w:r>
              <w:rPr/>
              <w:t>A. 00-11-038</w:t>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t xml:space="preserve"> </w:t>
            </w:r>
            <w:r>
              <w:rPr/>
              <w:t>A. 00-11-056</w:t>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t xml:space="preserve"> </w:t>
            </w:r>
            <w:r>
              <w:rPr/>
              <w:t>A. 00-10-028</w:t>
            </w:r>
          </w:p>
        </w:tc>
      </w:tr>
    </w:tbl>
    <w:p>
      <w:pPr>
        <w:pStyle w:val="Normal"/>
        <w:jc w:val="center"/>
        <w:rPr>
          <w:b/>
        </w:rPr>
      </w:pPr>
      <w:r>
        <w:rPr>
          <w:b/>
        </w:rPr>
      </w:r>
    </w:p>
    <w:p>
      <w:pPr>
        <w:pStyle w:val="Normal"/>
        <w:jc w:val="center"/>
        <w:rPr>
          <w:b/>
        </w:rPr>
      </w:pPr>
      <w:r>
        <w:rPr>
          <w:b/>
        </w:rPr>
      </w:r>
    </w:p>
    <w:p>
      <w:pPr>
        <w:pStyle w:val="Normal"/>
        <w:jc w:val="center"/>
        <w:rPr>
          <w:b/>
        </w:rPr>
      </w:pPr>
      <w:r>
        <w:rPr>
          <w:b/>
        </w:rPr>
        <w:t xml:space="preserve">COMMENTS OF </w:t>
      </w:r>
    </w:p>
    <w:p>
      <w:pPr>
        <w:pStyle w:val="Normal"/>
        <w:jc w:val="center"/>
        <w:rPr>
          <w:b/>
        </w:rPr>
      </w:pPr>
      <w:r>
        <w:rPr>
          <w:b/>
        </w:rPr>
        <w:t xml:space="preserve"> </w:t>
      </w:r>
      <w:r>
        <w:rPr>
          <w:b/>
        </w:rPr>
        <w:t>ENRON ENERGY SERVICES, INC.</w:t>
      </w:r>
    </w:p>
    <w:p>
      <w:pPr>
        <w:pStyle w:val="Normal"/>
        <w:jc w:val="center"/>
        <w:rPr>
          <w:b/>
        </w:rPr>
      </w:pPr>
      <w:r>
        <w:rPr>
          <w:b/>
        </w:rPr>
        <w:t>ON RATE DESIGN</w:t>
      </w:r>
    </w:p>
    <w:p>
      <w:pPr>
        <w:pStyle w:val="Normal"/>
        <w:jc w:val="center"/>
        <w:rPr>
          <w:b/>
        </w:rPr>
      </w:pPr>
      <w:r>
        <w:rPr>
          <w:b/>
        </w:rPr>
      </w:r>
    </w:p>
    <w:p>
      <w:pPr>
        <w:pStyle w:val="Normal"/>
        <w:spacing w:lineRule="auto" w:line="480"/>
        <w:ind w:firstLine="720" w:end="0"/>
        <w:jc w:val="both"/>
        <w:rPr/>
      </w:pPr>
      <w:r>
        <w:rPr/>
        <w:t xml:space="preserve">Pursuant to the directive of the Assigned Commissioner at the April 2, 2001 Prehearing Conference in the above captioned proceeding, Enron Energy Services, Inc. comments on the principles set forth in the March 26, 2001 Assigned Commissioner’s Ruling for designing the necessary rate structure to allow for the collection of the three cents per kilo-watt hour increase that the Commission approved in Decision 01-03-082.   </w:t>
      </w:r>
    </w:p>
    <w:p>
      <w:pPr>
        <w:pStyle w:val="Normal"/>
        <w:spacing w:lineRule="auto" w:line="480"/>
        <w:jc w:val="both"/>
        <w:rPr>
          <w:b/>
        </w:rPr>
      </w:pPr>
      <w:r>
        <w:rPr>
          <w:b/>
        </w:rPr>
        <w:t>I.</w:t>
        <w:tab/>
        <w:t>Threshold Determinations</w:t>
      </w:r>
    </w:p>
    <w:p>
      <w:pPr>
        <w:pStyle w:val="Normal"/>
        <w:spacing w:lineRule="auto" w:line="480"/>
        <w:ind w:firstLine="720" w:end="0"/>
        <w:jc w:val="both"/>
        <w:rPr>
          <w:b/>
        </w:rPr>
      </w:pPr>
      <w:r>
        <w:rPr/>
        <w:t xml:space="preserve">In order to properly design rates to collect the approved average three cent per kWh rate increase, there must be a clear understanding of the level of billing determinants across which the increase will be collected. To that end, it is necessary for the Commission to make certain threshold decisions as to the applicability of the rate increase to </w:t>
      </w:r>
      <w:del w:id="0" w:author="hkingers" w:date="2001-04-05T15:55:00Z">
        <w:r>
          <w:rPr/>
          <w:delText xml:space="preserve">certain customer segments. In this regard, Enron submits that the Commission must clarify the application of the three cents per Kwh rate increase to </w:delText>
        </w:r>
      </w:del>
      <w:r>
        <w:rPr/>
        <w:t xml:space="preserve">direct access customers.  </w:t>
      </w:r>
      <w:del w:id="1" w:author="hkingers" w:date="2001-04-05T15:56:00Z">
        <w:r>
          <w:rPr>
            <w:b/>
          </w:rPr>
          <w:delText xml:space="preserve">[do we want to ask for other clarifications such as whether the commission is also considering the one cent surcharge imposed in january as part of this rate design]  </w:delText>
        </w:r>
      </w:del>
    </w:p>
    <w:p>
      <w:pPr>
        <w:pStyle w:val="Normal"/>
        <w:spacing w:lineRule="auto" w:line="480"/>
        <w:ind w:firstLine="720" w:end="0"/>
        <w:jc w:val="both"/>
        <w:rPr>
          <w:del w:id="6" w:author="hkingers" w:date="2001-04-05T15:56:00Z"/>
        </w:rPr>
      </w:pPr>
      <w:del w:id="2" w:author="hkingers" w:date="2001-04-05T15:56:00Z">
        <w:r>
          <w:rPr>
            <w:b/>
          </w:rPr>
          <w:delText xml:space="preserve">[This is what I wrote before I got Harry’s voice mail as to the fact that we are only asking for clarification on DA not justifying our postition   – its pretty mild, but we can yank it]. </w:delText>
        </w:r>
      </w:del>
      <w:del w:id="3" w:author="hkingers" w:date="2001-04-05T15:56:00Z">
        <w:r>
          <w:rPr/>
          <w:delText xml:space="preserve">As presented at the Oral Argument held on March 26, 2001, in this proceeding, Enron does not believe, nor does the decision approving the increase support, the imposition of the three-cent rate increase on direct access customers. In discussing the increase, the Commission stated that “revenues generated by the rate increases will be applied only to electric power costs that are incurred after the effective date of this order.”  Again in the first ordering paragraph, the Commission reiterated that “the rate surcharge of three-cents per kilowatt hour (kWh) shall be applied to power cost incurred after the effective date of this decision.”  The purpose of the rate increase is clear – to provide for the UDCs continued purchasing of power to serve their bundled service customers.  The monies generated by the rate increase are not to be applied to the services that direct access customers receive from the UDC – </w:delText>
        </w:r>
      </w:del>
      <w:del w:id="4" w:author="hkingers" w:date="2001-04-05T15:56:00Z">
        <w:r>
          <w:rPr>
            <w:i/>
          </w:rPr>
          <w:delText>e.g.,</w:delText>
        </w:r>
      </w:del>
      <w:del w:id="5" w:author="hkingers" w:date="2001-04-05T15:56:00Z">
        <w:r>
          <w:rPr/>
          <w:delText xml:space="preserve"> distribution, transmission.  Principles of equity demand that direct access customers not be compelled to pay for energy that they do not use.  </w:delText>
        </w:r>
      </w:del>
    </w:p>
    <w:p>
      <w:pPr>
        <w:pStyle w:val="Normal"/>
        <w:spacing w:lineRule="auto" w:line="480"/>
        <w:ind w:firstLine="720" w:end="0"/>
        <w:jc w:val="both"/>
        <w:rPr/>
      </w:pPr>
      <w:del w:id="7" w:author="hkingers" w:date="2001-04-05T15:56:00Z">
        <w:r>
          <w:rPr/>
          <w:delText xml:space="preserve">Enron recognizes that the one-cent per kilowatt surcharge which the Commission approved in January for use by the UDCs for power purchases was made applicable to direct access customers.  Enron submits, however, that the Commission’s actions at that time should not be used a basis for applying the additional three cents surcharge to these customers.  At the time that the one-cent surcharge was adopted it was done on an emergency basis for a three- month period of time.  Given such narrow parameters, it was not challenged by direct access providers.  Those parameters have now disappeared.    The additional three cents surcharge was adopted subsequent to full hearings and a full airing of the issues.  It was not done on an emergency basis, subject to refund, but rather as part of the long-term solution to the energy crisis in the state. </w:delText>
        </w:r>
      </w:del>
      <w:r>
        <w:rPr/>
        <w:t xml:space="preserve"> </w:t>
      </w:r>
    </w:p>
    <w:p>
      <w:pPr>
        <w:pStyle w:val="Normal"/>
        <w:spacing w:lineRule="auto" w:line="480"/>
        <w:ind w:firstLine="720" w:end="0"/>
        <w:jc w:val="both"/>
        <w:rPr/>
      </w:pPr>
      <w:r>
        <w:rPr/>
      </w:r>
    </w:p>
    <w:p>
      <w:pPr>
        <w:pStyle w:val="Normal"/>
        <w:spacing w:lineRule="auto" w:line="480"/>
        <w:jc w:val="both"/>
        <w:rPr>
          <w:b/>
        </w:rPr>
      </w:pPr>
      <w:r>
        <w:rPr>
          <w:b/>
        </w:rPr>
        <w:t>II.</w:t>
        <w:tab/>
        <w:t>Goals of Rate Design</w:t>
      </w:r>
    </w:p>
    <w:p>
      <w:pPr>
        <w:pStyle w:val="Normal"/>
        <w:spacing w:lineRule="auto" w:line="480"/>
        <w:jc w:val="both"/>
        <w:rPr/>
      </w:pPr>
      <w:r>
        <w:rPr>
          <w:b/>
        </w:rPr>
        <w:tab/>
      </w:r>
      <w:r>
        <w:rPr/>
        <w:t>Prior to commenting on the rate design principles set forth in the ACR, Enron would note some basic goals that should govern the rates designed in this proceeding:</w:t>
      </w:r>
    </w:p>
    <w:p>
      <w:pPr>
        <w:pStyle w:val="Normal"/>
        <w:ind w:hanging="720" w:start="1440" w:end="0"/>
        <w:jc w:val="both"/>
        <w:rPr/>
      </w:pPr>
      <w:r>
        <w:rPr>
          <w:rFonts w:eastAsia="Symbol" w:cs="Symbol" w:ascii="Symbol" w:hAnsi="Symbol"/>
        </w:rPr>
        <w:sym w:font="Symbol" w:char="f0b7"/>
      </w:r>
      <w:r>
        <w:rPr/>
        <w:tab/>
        <w:t>The rates should be designed to give appropriate price signals to customers to consume/conserve energy.</w:t>
      </w:r>
    </w:p>
    <w:p>
      <w:pPr>
        <w:pStyle w:val="Normal"/>
        <w:ind w:hanging="720" w:start="1440" w:end="0"/>
        <w:jc w:val="both"/>
        <w:rPr/>
      </w:pPr>
      <w:r>
        <w:rPr/>
      </w:r>
    </w:p>
    <w:p>
      <w:pPr>
        <w:pStyle w:val="Normal"/>
        <w:spacing w:lineRule="auto" w:line="480"/>
        <w:jc w:val="both"/>
        <w:rPr/>
      </w:pPr>
      <w:r>
        <w:rPr/>
        <w:tab/>
      </w:r>
      <w:r>
        <w:rPr>
          <w:rFonts w:eastAsia="Symbol" w:cs="Symbol" w:ascii="Symbol" w:hAnsi="Symbol"/>
        </w:rPr>
        <w:sym w:font="Symbol" w:char="f0b7"/>
      </w:r>
      <w:r>
        <w:rPr/>
        <w:tab/>
        <w:t>Treat all rate classes in a clear and consistent manner.</w:t>
      </w:r>
    </w:p>
    <w:p>
      <w:pPr>
        <w:pStyle w:val="Normal"/>
        <w:spacing w:lineRule="auto" w:line="480"/>
        <w:jc w:val="both"/>
        <w:rPr/>
      </w:pPr>
      <w:r>
        <w:rPr/>
        <w:tab/>
      </w:r>
      <w:r>
        <w:rPr>
          <w:rFonts w:eastAsia="Symbol" w:cs="Symbol" w:ascii="Symbol" w:hAnsi="Symbol"/>
        </w:rPr>
        <w:sym w:font="Symbol" w:char="f0b7"/>
      </w:r>
      <w:r>
        <w:rPr/>
        <w:tab/>
        <w:t>Achieve the revenue requirements targeted in Decision 01-03-082</w:t>
      </w:r>
    </w:p>
    <w:p>
      <w:pPr>
        <w:pStyle w:val="Normal"/>
        <w:spacing w:lineRule="auto" w:line="480"/>
        <w:jc w:val="both"/>
        <w:rPr/>
      </w:pPr>
      <w:r>
        <w:rPr/>
        <w:tab/>
      </w:r>
      <w:r>
        <w:rPr>
          <w:rFonts w:eastAsia="Symbol" w:cs="Symbol" w:ascii="Symbol" w:hAnsi="Symbol"/>
        </w:rPr>
        <w:sym w:font="Symbol" w:char="f0b7"/>
      </w:r>
      <w:r>
        <w:rPr/>
        <w:tab/>
        <w:t>Design rates that are readily understood and easy to administer.</w:t>
      </w:r>
    </w:p>
    <w:p>
      <w:pPr>
        <w:pStyle w:val="Normal"/>
        <w:spacing w:lineRule="auto" w:line="480"/>
        <w:jc w:val="both"/>
        <w:rPr/>
      </w:pPr>
      <w:r>
        <w:rPr/>
        <w:t>These basic principles are consistent with those set forth in the ACR and can be reflected in the ultimate rate design adopted by the Commission in this proceeding in the following fashion:</w:t>
      </w:r>
    </w:p>
    <w:p>
      <w:pPr>
        <w:pStyle w:val="Normal"/>
        <w:numPr>
          <w:ilvl w:val="0"/>
          <w:numId w:val="4"/>
        </w:numPr>
        <w:spacing w:lineRule="auto" w:line="480"/>
        <w:jc w:val="both"/>
        <w:rPr>
          <w:b/>
          <w:ins w:id="10" w:author="Tamara Johnson" w:date="2001-04-06T09:12:00Z"/>
        </w:rPr>
      </w:pPr>
      <w:del w:id="8" w:author="Tamara Johnson" w:date="2001-04-06T09:12:00Z">
        <w:r>
          <w:rPr/>
          <w:tab/>
        </w:r>
      </w:del>
      <w:ins w:id="9" w:author="Tamara Johnson" w:date="2001-04-06T09:12:00Z">
        <w:r>
          <w:rPr>
            <w:b/>
          </w:rPr>
          <w:t xml:space="preserve">Promote conservation </w:t>
        </w:r>
      </w:ins>
    </w:p>
    <w:p>
      <w:pPr>
        <w:pStyle w:val="Normal"/>
        <w:spacing w:lineRule="auto" w:line="480"/>
        <w:jc w:val="both"/>
        <w:rPr>
          <w:ins w:id="37" w:author="Tamara Johnson" w:date="2001-04-06T09:12:00Z"/>
        </w:rPr>
      </w:pPr>
      <w:ins w:id="11" w:author="Tamara Johnson" w:date="2001-04-06T09:12:00Z">
        <w:r>
          <w:rPr/>
          <w:t xml:space="preserve">Giving a proper price signal to </w:t>
        </w:r>
      </w:ins>
      <w:ins w:id="12" w:author="Tamara Johnson" w:date="2001-04-06T09:16:00Z">
        <w:r>
          <w:rPr/>
          <w:t xml:space="preserve">all </w:t>
        </w:r>
      </w:ins>
      <w:ins w:id="13" w:author="Tamara Johnson" w:date="2001-04-06T09:13:00Z">
        <w:r>
          <w:rPr/>
          <w:t xml:space="preserve">customers will serve to achieve the goal of conservation.  </w:t>
        </w:r>
      </w:ins>
      <w:ins w:id="14" w:author="Tamara Johnson" w:date="2001-04-06T09:18:00Z">
        <w:r>
          <w:rPr/>
          <w:t xml:space="preserve">The use of rate tiers, </w:t>
        </w:r>
      </w:ins>
      <w:ins w:id="15" w:author="Tamara Johnson" w:date="2001-04-06T09:20:00Z">
        <w:r>
          <w:rPr/>
          <w:t>for example the '130% of Baseline' for the</w:t>
        </w:r>
      </w:ins>
      <w:ins w:id="16" w:author="Tamara Johnson" w:date="2001-04-06T09:18:00Z">
        <w:r>
          <w:rPr/>
          <w:t xml:space="preserve"> Residential rate class, allows for market-appropriate pricing to be applied in last tier. </w:t>
        </w:r>
      </w:ins>
      <w:ins w:id="17" w:author="Tamara Johnson" w:date="2001-04-06T09:14:00Z">
        <w:r>
          <w:rPr/>
          <w:t>The</w:t>
        </w:r>
      </w:ins>
      <w:ins w:id="18" w:author="Tamara Johnson" w:date="2001-04-06T09:12:00Z">
        <w:r>
          <w:rPr/>
          <w:t xml:space="preserve"> Assigned Commissioner’s Ruling advances the tiering of rates as the means to promote conservation. </w:t>
        </w:r>
      </w:ins>
      <w:ins w:id="19" w:author="Tamara Johnson" w:date="2001-04-06T09:21:00Z">
        <w:r>
          <w:rPr/>
          <w:t xml:space="preserve"> Applying the same principle to all customers </w:t>
        </w:r>
      </w:ins>
      <w:ins w:id="20" w:author="Tamara Johnson" w:date="2001-04-06T09:19:00Z">
        <w:r>
          <w:rPr/>
          <w:t>is a fair and effective way to achieve the conservation goal</w:t>
        </w:r>
      </w:ins>
      <w:ins w:id="21" w:author="Tamara Johnson" w:date="2001-04-06T09:21:00Z">
        <w:r>
          <w:rPr/>
          <w:t xml:space="preserve">. </w:t>
        </w:r>
      </w:ins>
      <w:ins w:id="22" w:author="Tamara Johnson" w:date="2001-04-06T09:19:00Z">
        <w:r>
          <w:rPr/>
          <w:t xml:space="preserve"> </w:t>
        </w:r>
      </w:ins>
      <w:ins w:id="23" w:author="Tamara Johnson" w:date="2001-04-06T09:12:00Z">
        <w:r>
          <w:rPr/>
          <w:t xml:space="preserve">From the sample rates set forth in the ACR, however, this approach appears to be confined to the residential and small commercial customers.  Such </w:t>
        </w:r>
      </w:ins>
      <w:ins w:id="24" w:author="Tamara Johnson" w:date="2001-04-06T09:21:00Z">
        <w:r>
          <w:rPr/>
          <w:t xml:space="preserve">an </w:t>
        </w:r>
      </w:ins>
      <w:ins w:id="25" w:author="Tamara Johnson" w:date="2001-04-06T09:12:00Z">
        <w:r>
          <w:rPr/>
          <w:t xml:space="preserve">approach is too narrowly confined and does not advance the overall goal of conservation by all consumers in the state.  To this end, Enron would recommend that the Commission expand the tiered rates to all customer classes.  </w:t>
        </w:r>
      </w:ins>
      <w:ins w:id="26" w:author="Tamara Johnson" w:date="2001-04-06T09:21:00Z">
        <w:r>
          <w:rPr/>
          <w:t>For</w:t>
        </w:r>
      </w:ins>
      <w:ins w:id="27" w:author="Tamara Johnson" w:date="2001-04-06T09:12:00Z">
        <w:r>
          <w:rPr/>
          <w:t xml:space="preserve"> example, some portion of baseline usage (e.g. 90%) </w:t>
        </w:r>
      </w:ins>
      <w:ins w:id="28" w:author="Tamara Johnson" w:date="2001-04-06T09:22:00Z">
        <w:r>
          <w:rPr/>
          <w:t xml:space="preserve">for the industrial class </w:t>
        </w:r>
      </w:ins>
      <w:ins w:id="29" w:author="Tamara Johnson" w:date="2001-04-06T09:12:00Z">
        <w:r>
          <w:rPr/>
          <w:t xml:space="preserve">could be priced at existing rates, with the remaining </w:t>
        </w:r>
      </w:ins>
      <w:ins w:id="30" w:author="Tamara Johnson" w:date="2001-04-06T09:22:00Z">
        <w:r>
          <w:rPr/>
          <w:t>energy consumption pricing at market appropriate levels.  Current market prices are such that</w:t>
        </w:r>
      </w:ins>
      <w:ins w:id="31" w:author="Tamara Johnson" w:date="2001-04-06T09:12:00Z">
        <w:r>
          <w:rPr/>
          <w:t xml:space="preserve"> </w:t>
        </w:r>
      </w:ins>
      <w:ins w:id="32" w:author="Tamara Johnson" w:date="2001-04-06T09:22:00Z">
        <w:r>
          <w:rPr/>
          <w:t xml:space="preserve">the desired overall rate increase would be achieved in this fashion.  </w:t>
        </w:r>
      </w:ins>
      <w:ins w:id="33" w:author="Tamara Johnson" w:date="2001-04-06T09:24:00Z">
        <w:r>
          <w:rPr/>
          <w:t>The tiered rate structure combined with appropriate price signals</w:t>
        </w:r>
      </w:ins>
      <w:ins w:id="34" w:author="Tamara Johnson" w:date="2001-04-06T09:12:00Z">
        <w:r>
          <w:rPr/>
          <w:t xml:space="preserve"> gives </w:t>
        </w:r>
      </w:ins>
      <w:ins w:id="35" w:author="Tamara Johnson" w:date="2001-04-06T09:24:00Z">
        <w:r>
          <w:rPr/>
          <w:t>all</w:t>
        </w:r>
      </w:ins>
      <w:ins w:id="36" w:author="Tamara Johnson" w:date="2001-04-06T09:12:00Z">
        <w:r>
          <w:rPr/>
          <w:t xml:space="preserve"> customers a strong incentive to reduce their usage, especially if combined with an aggressive demand buy-down and interruption programs administered by the California ISO and/or the Commission..</w:t>
        </w:r>
      </w:ins>
    </w:p>
    <w:p>
      <w:pPr>
        <w:pStyle w:val="Normal"/>
        <w:numPr>
          <w:ilvl w:val="0"/>
          <w:numId w:val="3"/>
        </w:numPr>
        <w:spacing w:lineRule="auto" w:line="480"/>
        <w:jc w:val="both"/>
        <w:rPr>
          <w:ins w:id="44" w:author="Tamara Johnson" w:date="2001-04-06T09:25:00Z"/>
        </w:rPr>
      </w:pPr>
      <w:del w:id="38" w:author="Tamara Johnson" w:date="2001-04-06T09:25:00Z">
        <w:r>
          <w:rPr>
            <w:b/>
          </w:rPr>
          <w:delText>1.</w:delText>
        </w:r>
      </w:del>
      <w:del w:id="39" w:author="Tamara Johnson" w:date="2001-04-06T09:25:00Z">
        <w:r>
          <w:rPr/>
          <w:delText xml:space="preserve">  </w:delText>
        </w:r>
      </w:del>
      <w:del w:id="40" w:author="Tamara Johnson" w:date="2001-04-06T09:25:00Z">
        <w:r>
          <w:rPr>
            <w:b/>
          </w:rPr>
          <w:delText>Commission Goal --</w:delText>
        </w:r>
      </w:del>
      <w:del w:id="41" w:author="Tamara Johnson" w:date="2001-04-06T09:25:00Z">
        <w:r>
          <w:rPr/>
          <w:delText xml:space="preserve"> </w:delText>
        </w:r>
      </w:del>
      <w:del w:id="42" w:author="Tamara Johnson" w:date="2001-04-06T09:25:00Z">
        <w:r>
          <w:rPr>
            <w:b/>
          </w:rPr>
          <w:delText>adjust base rate differences among customer classes to reduce the disparity in prices paid for energy.</w:delText>
        </w:r>
      </w:del>
      <w:ins w:id="43" w:author="Tamara Johnson" w:date="2001-04-06T09:25:00Z">
        <w:r>
          <w:rPr>
            <w:b/>
          </w:rPr>
          <w:t>Treat all customers in a fair and consistent manner</w:t>
        </w:r>
      </w:ins>
    </w:p>
    <w:p>
      <w:pPr>
        <w:pStyle w:val="Normal"/>
        <w:spacing w:lineRule="auto" w:line="480"/>
        <w:jc w:val="both"/>
        <w:rPr/>
      </w:pPr>
      <w:del w:id="45" w:author="Tamara Johnson" w:date="2001-04-06T09:26:00Z">
        <w:r>
          <w:rPr/>
          <w:delText xml:space="preserve">  </w:delText>
        </w:r>
      </w:del>
      <w:del w:id="46" w:author="Tamara Johnson" w:date="2001-04-06T09:26:00Z">
        <w:r>
          <w:rPr/>
          <w:delText>This goal is the means to ensure that all rate classes are treated in a clear and consistent manner.  The bottom line in</w:delText>
        </w:r>
      </w:del>
      <w:ins w:id="47" w:author="Tamara Johnson" w:date="2001-04-06T09:26:00Z">
        <w:r>
          <w:rPr/>
          <w:t>To</w:t>
        </w:r>
      </w:ins>
      <w:r>
        <w:rPr/>
        <w:t xml:space="preserve"> </w:t>
      </w:r>
      <w:del w:id="48" w:author="Tamara Johnson" w:date="2001-04-06T09:26:00Z">
        <w:r>
          <w:rPr/>
          <w:delText xml:space="preserve">ensuring </w:delText>
        </w:r>
      </w:del>
      <w:ins w:id="49" w:author="Tamara Johnson" w:date="2001-04-06T09:26:00Z">
        <w:r>
          <w:rPr/>
          <w:t xml:space="preserve">ensure </w:t>
        </w:r>
      </w:ins>
      <w:r>
        <w:rPr/>
        <w:t xml:space="preserve">fairness </w:t>
      </w:r>
      <w:del w:id="50" w:author="Tamara Johnson" w:date="2001-04-06T09:26:00Z">
        <w:r>
          <w:rPr/>
          <w:delText>in the prices paid by</w:delText>
        </w:r>
      </w:del>
      <w:ins w:id="51" w:author="Tamara Johnson" w:date="2001-04-06T09:26:00Z">
        <w:r>
          <w:rPr/>
          <w:t>for all</w:t>
        </w:r>
      </w:ins>
      <w:r>
        <w:rPr/>
        <w:t xml:space="preserve"> end use customers </w:t>
      </w:r>
      <w:del w:id="52" w:author="Tamara Johnson" w:date="2001-04-06T09:26:00Z">
        <w:r>
          <w:rPr/>
          <w:delText>for all energy purchases in California is to design</w:delText>
        </w:r>
      </w:del>
      <w:ins w:id="53" w:author="Tamara Johnson" w:date="2001-04-06T09:26:00Z">
        <w:r>
          <w:rPr/>
          <w:t>the</w:t>
        </w:r>
      </w:ins>
      <w:r>
        <w:rPr/>
        <w:t xml:space="preserve"> rates </w:t>
      </w:r>
      <w:ins w:id="54" w:author="Tamara Johnson" w:date="2001-04-06T09:27:00Z">
        <w:r>
          <w:rPr/>
          <w:t xml:space="preserve">should be designed </w:t>
        </w:r>
      </w:ins>
      <w:r>
        <w:rPr/>
        <w:t xml:space="preserve">such that </w:t>
      </w:r>
      <w:del w:id="55" w:author="Tamara Johnson" w:date="2001-04-06T09:27:00Z">
        <w:r>
          <w:rPr/>
          <w:delText>the prices paid by any customer</w:delText>
        </w:r>
      </w:del>
      <w:ins w:id="56" w:author="Tamara Johnson" w:date="2001-04-06T09:27:00Z">
        <w:r>
          <w:rPr/>
          <w:t>the revenues contributed by each rate class</w:t>
        </w:r>
      </w:ins>
      <w:r>
        <w:rPr/>
        <w:t xml:space="preserve">, irrespective of </w:t>
      </w:r>
      <w:ins w:id="57" w:author="Tamara Johnson" w:date="2001-04-06T09:27:00Z">
        <w:r>
          <w:rPr/>
          <w:t xml:space="preserve">which </w:t>
        </w:r>
      </w:ins>
      <w:r>
        <w:rPr/>
        <w:t xml:space="preserve">rate class, are reflective of the costs imposed on the system by that </w:t>
      </w:r>
      <w:del w:id="58" w:author="Tamara Johnson" w:date="2001-04-06T09:27:00Z">
        <w:r>
          <w:rPr/>
          <w:delText>customer</w:delText>
        </w:r>
      </w:del>
      <w:ins w:id="59" w:author="Tamara Johnson" w:date="2001-04-06T09:27:00Z">
        <w:r>
          <w:rPr/>
          <w:t>class of customers</w:t>
        </w:r>
      </w:ins>
      <w:r>
        <w:rPr/>
        <w:t>.  Stated another way, two customers with similar</w:t>
      </w:r>
      <w:ins w:id="60" w:author="hkingers" w:date="2001-04-05T15:58:00Z">
        <w:r>
          <w:rPr/>
          <w:t xml:space="preserve">ly shaped </w:t>
        </w:r>
      </w:ins>
      <w:del w:id="61" w:author="hkingers" w:date="2001-04-05T15:58:00Z">
        <w:r>
          <w:rPr/>
          <w:delText xml:space="preserve"> </w:delText>
        </w:r>
      </w:del>
      <w:r>
        <w:rPr/>
        <w:t xml:space="preserve">load </w:t>
      </w:r>
      <w:del w:id="62" w:author="Tamara Johnson" w:date="2001-04-06T09:28:00Z">
        <w:r>
          <w:rPr/>
          <w:delText xml:space="preserve">patterns </w:delText>
        </w:r>
      </w:del>
      <w:ins w:id="63" w:author="Tamara Johnson" w:date="2001-04-06T09:28:00Z">
        <w:r>
          <w:rPr/>
          <w:t xml:space="preserve">profiles during the same time period </w:t>
        </w:r>
      </w:ins>
      <w:r>
        <w:rPr/>
        <w:t xml:space="preserve">should pay the same energy price </w:t>
      </w:r>
      <w:ins w:id="64" w:author="hkingers" w:date="2001-04-05T15:58:00Z">
        <w:del w:id="65" w:author="Tamara Johnson" w:date="2001-04-06T09:28:00Z">
          <w:r>
            <w:rPr/>
            <w:delText xml:space="preserve">per kilowatthour </w:delText>
          </w:r>
        </w:del>
      </w:ins>
      <w:r>
        <w:rPr/>
        <w:t xml:space="preserve">even if one of the customers is in the residential class and the other in the commercial class.  The fact that these customers have been placed in different classes does not </w:t>
      </w:r>
      <w:ins w:id="66" w:author="hkingers" w:date="2001-04-05T15:59:00Z">
        <w:r>
          <w:rPr/>
          <w:t xml:space="preserve">affect the fact </w:t>
        </w:r>
      </w:ins>
      <w:del w:id="67" w:author="hkingers" w:date="2001-04-05T15:59:00Z">
        <w:r>
          <w:rPr/>
          <w:delText xml:space="preserve">mean that </w:delText>
        </w:r>
      </w:del>
      <w:r>
        <w:rPr/>
        <w:t xml:space="preserve">they are </w:t>
      </w:r>
      <w:del w:id="68" w:author="hkingers" w:date="2001-04-05T15:59:00Z">
        <w:r>
          <w:rPr/>
          <w:delText xml:space="preserve">not </w:delText>
        </w:r>
      </w:del>
      <w:r>
        <w:rPr/>
        <w:t xml:space="preserve">imposing the same cost on the system </w:t>
      </w:r>
      <w:ins w:id="69" w:author="hkingers" w:date="2001-04-05T15:59:00Z">
        <w:del w:id="70" w:author="Tamara Johnson" w:date="2001-04-06T09:29:00Z">
          <w:r>
            <w:rPr/>
            <w:delText xml:space="preserve">per kilowatthour </w:delText>
          </w:r>
        </w:del>
      </w:ins>
      <w:r>
        <w:rPr/>
        <w:t xml:space="preserve">and thus should pay the same rate for energy. </w:t>
      </w:r>
      <w:ins w:id="71" w:author="Tamara Johnson" w:date="2001-04-06T09:29:00Z">
        <w:r>
          <w:rPr/>
          <w:t xml:space="preserve">  </w:t>
        </w:r>
      </w:ins>
      <w:ins w:id="72" w:author="Tamara Johnson" w:date="2001-04-06T09:29:00Z">
        <w:r>
          <w:rPr>
            <w:highlight w:val="yellow"/>
          </w:rPr>
          <w:t>[NOTE:  We should not fixate on the same "per kilowatt-hour" price.  If the residential below 130% stays at 0% increase, and we lose the tiered argument  (we will likely end up with some different version of it)</w:t>
        </w:r>
      </w:ins>
      <w:ins w:id="73" w:author="Tamara Johnson" w:date="2001-04-06T09:31:00Z">
        <w:r>
          <w:rPr>
            <w:highlight w:val="yellow"/>
          </w:rPr>
          <w:t>,</w:t>
        </w:r>
      </w:ins>
      <w:ins w:id="74" w:author="Tamara Johnson" w:date="2001-04-06T09:29:00Z">
        <w:r>
          <w:rPr>
            <w:highlight w:val="yellow"/>
          </w:rPr>
          <w:t xml:space="preserve"> then we do not want industrials to pay $150/kWh and residential to pay $150/kWh for the last tiers. </w:t>
        </w:r>
      </w:ins>
      <w:ins w:id="75" w:author="Tamara Johnson" w:date="2001-04-06T09:32:00Z">
        <w:r>
          <w:rPr>
            <w:highlight w:val="yellow"/>
          </w:rPr>
          <w:t>This is because</w:t>
        </w:r>
      </w:ins>
      <w:ins w:id="76" w:author="Tamara Johnson" w:date="2001-04-06T09:30:00Z">
        <w:r>
          <w:rPr>
            <w:highlight w:val="yellow"/>
          </w:rPr>
          <w:t xml:space="preserve"> the 1</w:t>
        </w:r>
      </w:ins>
      <w:ins w:id="77" w:author="Tamara Johnson" w:date="2001-04-06T09:30:00Z">
        <w:r>
          <w:rPr>
            <w:highlight w:val="yellow"/>
            <w:vertAlign w:val="superscript"/>
          </w:rPr>
          <w:t>st</w:t>
        </w:r>
      </w:ins>
      <w:ins w:id="78" w:author="Tamara Johnson" w:date="2001-04-06T09:30:00Z">
        <w:r>
          <w:rPr>
            <w:highlight w:val="yellow"/>
          </w:rPr>
          <w:t xml:space="preserve"> tiers for industrials will still likely see an increase and the residential will not.  This will end up, again, with others subsidizing the residential class.]</w:t>
        </w:r>
      </w:ins>
      <w:ins w:id="79" w:author="Tamara Johnson" w:date="2001-04-06T09:30:00Z">
        <w:r>
          <w:rPr/>
          <w:t xml:space="preserve"> </w:t>
        </w:r>
      </w:ins>
    </w:p>
    <w:p>
      <w:pPr>
        <w:pStyle w:val="Normal"/>
        <w:spacing w:lineRule="auto" w:line="480"/>
        <w:jc w:val="both"/>
        <w:rPr>
          <w:del w:id="100" w:author="Tamara Johnson" w:date="2001-04-06T09:11:00Z"/>
        </w:rPr>
      </w:pPr>
      <w:del w:id="80" w:author="Tamara Johnson" w:date="2001-04-06T09:11:00Z">
        <w:r>
          <w:rPr>
            <w:b/>
          </w:rPr>
          <w:tab/>
          <w:delText>2.</w:delText>
          <w:tab/>
          <w:delText xml:space="preserve">Commission goal -- promote conservation through the tiering of rates. This goal is the means to ensure that rates give the proper price signal.  In this respect, the Assigned Commissioner’s Ruling advances the tiering of rates as the means to promote conservation.  From the sample rates set forth in the ACR, however, this approach appears to be confined to the residential and small commercial customers.  Such approach is too narrowly confined and does not advance the overall </w:delText>
        </w:r>
      </w:del>
      <w:del w:id="81" w:author="hkingers" w:date="2001-04-05T16:02:00Z">
        <w:r>
          <w:rPr>
            <w:b/>
          </w:rPr>
          <w:delText xml:space="preserve">of </w:delText>
        </w:r>
      </w:del>
      <w:del w:id="82" w:author="Tamara Johnson" w:date="2001-04-06T09:11:00Z">
        <w:r>
          <w:rPr>
            <w:b/>
          </w:rPr>
          <w:delText>goal of conservation by all consumers in the state.  To this end, Enron would recommend that the Commission expand the tiered rates to all customer classes.  Thus, for example, for the industrial class, some portion of baseline usage (e.g. 90%) could be priced at existing rates, with the rate increase being imposed on the remaining 10% of baseline plus any amounts exceeding baseline.</w:delText>
        </w:r>
      </w:del>
      <w:del w:id="83" w:author="Tamara Johnson" w:date="2001-04-06T09:11:00Z">
        <w:r>
          <w:rPr>
            <w:rStyle w:val="FootnoteCharacters"/>
            <w:rStyle w:val="FootnoteReference"/>
            <w:b/>
          </w:rPr>
          <w:footnoteReference w:id="2"/>
        </w:r>
      </w:del>
      <w:del w:id="84" w:author="Tamara Johnson" w:date="2001-04-06T09:11:00Z">
        <w:r>
          <w:rPr>
            <w:b/>
          </w:rPr>
          <w:delText xml:space="preserve">  Such a tiering gives industrial customers a strong incentive to reduce their usage</w:delText>
        </w:r>
      </w:del>
      <w:ins w:id="85" w:author="hkingers" w:date="2001-04-05T16:06:00Z">
        <w:del w:id="86" w:author="Tamara Johnson" w:date="2001-04-06T09:11:00Z">
          <w:r>
            <w:rPr>
              <w:b/>
            </w:rPr>
            <w:delText xml:space="preserve">, especially if it is combined with an aggressive demand buy-down </w:delText>
          </w:r>
        </w:del>
      </w:ins>
      <w:ins w:id="87" w:author="hkingers" w:date="2001-04-05T16:08:00Z">
        <w:del w:id="88" w:author="Tamara Johnson" w:date="2001-04-06T09:11:00Z">
          <w:r>
            <w:rPr>
              <w:b/>
            </w:rPr>
            <w:delText xml:space="preserve">and interruption </w:delText>
          </w:r>
        </w:del>
      </w:ins>
      <w:ins w:id="89" w:author="hkingers" w:date="2001-04-05T16:06:00Z">
        <w:del w:id="90" w:author="Tamara Johnson" w:date="2001-04-06T09:11:00Z">
          <w:r>
            <w:rPr>
              <w:b/>
            </w:rPr>
            <w:delText>program</w:delText>
          </w:r>
        </w:del>
      </w:ins>
      <w:ins w:id="91" w:author="hkingers" w:date="2001-04-05T16:08:00Z">
        <w:del w:id="92" w:author="Tamara Johnson" w:date="2001-04-06T09:11:00Z">
          <w:r>
            <w:rPr>
              <w:b/>
            </w:rPr>
            <w:delText>s</w:delText>
          </w:r>
        </w:del>
      </w:ins>
      <w:ins w:id="93" w:author="hkingers" w:date="2001-04-05T16:06:00Z">
        <w:del w:id="94" w:author="Tamara Johnson" w:date="2001-04-06T09:11:00Z">
          <w:r>
            <w:rPr>
              <w:b/>
            </w:rPr>
            <w:delText xml:space="preserve"> administered by the California ISO </w:delText>
          </w:r>
        </w:del>
      </w:ins>
      <w:ins w:id="95" w:author="hkingers" w:date="2001-04-05T16:08:00Z">
        <w:del w:id="96" w:author="Tamara Johnson" w:date="2001-04-06T09:11:00Z">
          <w:r>
            <w:rPr>
              <w:b/>
            </w:rPr>
            <w:delText>and/</w:delText>
          </w:r>
        </w:del>
      </w:ins>
      <w:ins w:id="97" w:author="hkingers" w:date="2001-04-05T16:06:00Z">
        <w:del w:id="98" w:author="Tamara Johnson" w:date="2001-04-06T09:11:00Z">
          <w:r>
            <w:rPr>
              <w:b/>
            </w:rPr>
            <w:delText>or the Commission.</w:delText>
          </w:r>
        </w:del>
      </w:ins>
      <w:del w:id="99" w:author="Tamara Johnson" w:date="2001-04-06T09:11:00Z">
        <w:r>
          <w:rPr>
            <w:b/>
          </w:rPr>
          <w:delText>.</w:delText>
        </w:r>
      </w:del>
    </w:p>
    <w:p>
      <w:pPr>
        <w:pStyle w:val="Normal"/>
        <w:widowControl/>
        <w:numPr>
          <w:ilvl w:val="0"/>
          <w:numId w:val="0"/>
        </w:numPr>
        <w:bidi w:val="0"/>
        <w:spacing w:lineRule="auto" w:line="480"/>
        <w:jc w:val="both"/>
        <w:rPr>
          <w:ins w:id="103" w:author="Tamara Johnson" w:date="2001-04-06T09:32:00Z"/>
        </w:rPr>
      </w:pPr>
      <w:del w:id="101" w:author="Tamara Johnson" w:date="2001-04-06T09:33:00Z">
        <w:r>
          <w:rPr>
            <w:b/>
          </w:rPr>
          <w:tab/>
          <w:delText>3.</w:delText>
          <w:tab/>
          <w:delText>Commission Goal -- exempt from rate increase residential customers who keep electric usage within 130% of baseline.</w:delText>
        </w:r>
      </w:del>
      <w:ins w:id="102" w:author="Tamara Johnson" w:date="2001-04-06T09:32:00Z">
        <w:r>
          <w:rPr>
            <w:b/>
          </w:rPr>
          <w:t xml:space="preserve"> Achieve the revenue requirements targeted in Decision 01-03-082</w:t>
        </w:r>
      </w:ins>
    </w:p>
    <w:p>
      <w:pPr>
        <w:pStyle w:val="Normal"/>
        <w:spacing w:lineRule="auto" w:line="480"/>
        <w:jc w:val="both"/>
        <w:rPr>
          <w:ins w:id="148" w:author="Tamara Johnson" w:date="2001-04-06T09:50:00Z"/>
        </w:rPr>
      </w:pPr>
      <w:ins w:id="104" w:author="Tamara Johnson" w:date="2001-04-06T09:32:00Z">
        <w:r>
          <w:rPr/>
          <w:t xml:space="preserve">In order to ensure that each customer class bears its full share of responsibility for the rate increase, </w:t>
        </w:r>
      </w:ins>
      <w:ins w:id="105" w:author="Tamara Johnson" w:date="2001-04-06T09:36:00Z">
        <w:r>
          <w:rPr/>
          <w:t xml:space="preserve">the Commission cannot allow </w:t>
        </w:r>
      </w:ins>
      <w:ins w:id="106" w:author="Tamara Johnson" w:date="2001-04-06T09:38:00Z">
        <w:r>
          <w:rPr/>
          <w:t xml:space="preserve">the residential exemption provided for in ABX1-1 to result in residential-related revenue increases </w:t>
        </w:r>
      </w:ins>
      <w:ins w:id="107" w:author="Tamara Johnson" w:date="2001-04-06T09:36:00Z">
        <w:r>
          <w:rPr/>
          <w:t>to be shifted to other rate classes</w:t>
        </w:r>
      </w:ins>
      <w:ins w:id="108" w:author="Tamara Johnson" w:date="2001-04-06T09:40:00Z">
        <w:r>
          <w:rPr/>
          <w:t xml:space="preserve">. The </w:t>
        </w:r>
      </w:ins>
      <w:ins w:id="109" w:author="Tamara Johnson" w:date="2001-04-06T09:34:00Z">
        <w:r>
          <w:rPr/>
          <w:t xml:space="preserve">Commission must proceed with caution in </w:t>
        </w:r>
      </w:ins>
      <w:ins w:id="110" w:author="Tamara Johnson" w:date="2001-04-06T09:41:00Z">
        <w:r>
          <w:rPr/>
          <w:t>the</w:t>
        </w:r>
      </w:ins>
      <w:ins w:id="111" w:author="Tamara Johnson" w:date="2001-04-06T09:34:00Z">
        <w:r>
          <w:rPr/>
          <w:t xml:space="preserve"> implementation of </w:t>
        </w:r>
      </w:ins>
      <w:ins w:id="112" w:author="Tamara Johnson" w:date="2001-04-06T09:41:00Z">
        <w:r>
          <w:rPr/>
          <w:t>Decision 01-01-082 so that</w:t>
        </w:r>
      </w:ins>
      <w:ins w:id="113" w:author="Tamara Johnson" w:date="2001-04-06T09:34:00Z">
        <w:r>
          <w:rPr/>
          <w:t xml:space="preserve"> the revenue targets dictated by </w:t>
        </w:r>
      </w:ins>
      <w:ins w:id="114" w:author="Tamara Johnson" w:date="2001-04-06T09:42:00Z">
        <w:r>
          <w:rPr/>
          <w:t>the decision are achieved</w:t>
        </w:r>
      </w:ins>
      <w:ins w:id="115" w:author="Tamara Johnson" w:date="2001-04-06T09:33:00Z">
        <w:r>
          <w:rPr/>
          <w:t xml:space="preserve"> without an inequitable distribution of the burden.</w:t>
        </w:r>
      </w:ins>
      <w:del w:id="116" w:author="Tamara Johnson" w:date="2001-04-06T09:32:00Z">
        <w:r>
          <w:rPr>
            <w:b/>
          </w:rPr>
          <w:delText xml:space="preserve">  </w:delText>
        </w:r>
      </w:del>
      <w:del w:id="117" w:author="Tamara Johnson" w:date="2001-04-06T09:32:00Z">
        <w:r>
          <w:rPr/>
          <w:delText xml:space="preserve">   </w:delText>
        </w:r>
      </w:del>
      <w:del w:id="118" w:author="Tamara Johnson" w:date="2001-04-06T09:42:00Z">
        <w:r>
          <w:rPr/>
          <w:delText>This goal is dictated by ABX1-1.</w:delText>
        </w:r>
      </w:del>
      <w:ins w:id="119" w:author="Tamara Johnson" w:date="2001-04-06T09:40:00Z">
        <w:r>
          <w:rPr/>
          <w:t xml:space="preserve">  The revenues that would have been generated by </w:t>
        </w:r>
      </w:ins>
      <w:ins w:id="120" w:author="Tamara Johnson" w:date="2001-04-06T09:44:00Z">
        <w:r>
          <w:rPr/>
          <w:t>a</w:t>
        </w:r>
      </w:ins>
      <w:ins w:id="121" w:author="Tamara Johnson" w:date="2001-04-06T09:42:00Z">
        <w:r>
          <w:rPr/>
          <w:t xml:space="preserve"> three cent per kilowatt</w:t>
        </w:r>
      </w:ins>
      <w:ins w:id="122" w:author="Tamara Johnson" w:date="2001-04-06T09:44:00Z">
        <w:r>
          <w:rPr/>
          <w:t>-hour</w:t>
        </w:r>
      </w:ins>
      <w:ins w:id="123" w:author="Tamara Johnson" w:date="2001-04-06T09:42:00Z">
        <w:r>
          <w:rPr/>
          <w:t xml:space="preserve"> increase applied to </w:t>
        </w:r>
      </w:ins>
      <w:ins w:id="124" w:author="Tamara Johnson" w:date="2001-04-06T09:45:00Z">
        <w:r>
          <w:rPr/>
          <w:t>all</w:t>
        </w:r>
      </w:ins>
      <w:ins w:id="125" w:author="Tamara Johnson" w:date="2001-04-06T09:40:00Z">
        <w:r>
          <w:rPr/>
          <w:t xml:space="preserve"> residential </w:t>
        </w:r>
      </w:ins>
      <w:ins w:id="126" w:author="Tamara Johnson" w:date="2001-04-06T09:44:00Z">
        <w:r>
          <w:rPr/>
          <w:t>energy usage should not be partially collected from all other rate classes because of the</w:t>
        </w:r>
      </w:ins>
      <w:r>
        <w:rPr/>
        <w:t xml:space="preserve"> </w:t>
      </w:r>
      <w:ins w:id="127" w:author="Tamara Johnson" w:date="2001-04-06T09:32:00Z">
        <w:r>
          <w:rPr/>
          <w:t>exempt</w:t>
        </w:r>
      </w:ins>
      <w:ins w:id="128" w:author="Tamara Johnson" w:date="2001-04-06T09:44:00Z">
        <w:r>
          <w:rPr/>
          <w:t>ion</w:t>
        </w:r>
      </w:ins>
      <w:ins w:id="129" w:author="Tamara Johnson" w:date="2001-04-06T09:32:00Z">
        <w:r>
          <w:rPr/>
          <w:t xml:space="preserve"> </w:t>
        </w:r>
      </w:ins>
      <w:ins w:id="130" w:author="Tamara Johnson" w:date="2001-04-06T09:44:00Z">
        <w:r>
          <w:rPr/>
          <w:t>of</w:t>
        </w:r>
      </w:ins>
      <w:ins w:id="131" w:author="Tamara Johnson" w:date="2001-04-06T09:32:00Z">
        <w:r>
          <w:rPr/>
          <w:t xml:space="preserve"> residential electric usage </w:t>
        </w:r>
      </w:ins>
      <w:ins w:id="132" w:author="Tamara Johnson" w:date="2001-04-06T09:45:00Z">
        <w:r>
          <w:rPr/>
          <w:t>below</w:t>
        </w:r>
      </w:ins>
      <w:ins w:id="133" w:author="Tamara Johnson" w:date="2001-04-06T09:32:00Z">
        <w:r>
          <w:rPr/>
          <w:t xml:space="preserve"> </w:t>
        </w:r>
      </w:ins>
      <w:ins w:id="134" w:author="Tamara Johnson" w:date="2001-04-06T09:45:00Z">
        <w:r>
          <w:rPr/>
          <w:t>"</w:t>
        </w:r>
      </w:ins>
      <w:ins w:id="135" w:author="Tamara Johnson" w:date="2001-04-06T09:32:00Z">
        <w:r>
          <w:rPr/>
          <w:t>130% of baseline</w:t>
        </w:r>
      </w:ins>
      <w:ins w:id="136" w:author="Tamara Johnson" w:date="2001-04-06T09:45:00Z">
        <w:r>
          <w:rPr/>
          <w:t>" from an increase.</w:t>
        </w:r>
      </w:ins>
      <w:ins w:id="137" w:author="Tamara Johnson" w:date="2001-04-06T09:32:00Z">
        <w:r>
          <w:rPr/>
          <w:t xml:space="preserve"> </w:t>
        </w:r>
      </w:ins>
      <w:del w:id="138" w:author="Tamara Johnson" w:date="2001-04-06T09:32:00Z">
        <w:r>
          <w:rPr/>
          <w:delText xml:space="preserve"> </w:delText>
        </w:r>
      </w:del>
      <w:del w:id="139" w:author="Tamara Johnson" w:date="2001-04-06T09:34:00Z">
        <w:r>
          <w:rPr/>
          <w:delText xml:space="preserve">The Commission, however, must proceed with caution in its implementation of this goal in order to ensure that it retains the revenue targets dictated by Decision 01-01-082, without an inequitable distribution of the burden. In this regard, </w:delText>
        </w:r>
      </w:del>
      <w:ins w:id="140" w:author="hkingers" w:date="2001-04-05T16:03:00Z">
        <w:del w:id="141" w:author="Tamara Johnson" w:date="2001-04-06T09:33:00Z">
          <w:r>
            <w:rPr/>
            <w:delText xml:space="preserve">in </w:delText>
          </w:r>
        </w:del>
      </w:ins>
      <w:del w:id="142" w:author="Tamara Johnson" w:date="2001-04-06T09:33:00Z">
        <w:r>
          <w:rPr/>
          <w:delText xml:space="preserve">order to ensure that each customer class bears its full share of responsibility for the rate increase, the Commission cannot allow the revenues which would have been generated by the rate increase but for the exemption for certain residential usage provided under ABX1-1 to be shifted to other rate classes.  </w:delText>
        </w:r>
      </w:del>
      <w:r>
        <w:rPr/>
        <w:t>Rather, the revenues los</w:t>
      </w:r>
      <w:del w:id="143" w:author="hkingers" w:date="2001-04-05T16:03:00Z">
        <w:r>
          <w:rPr/>
          <w:delText>s</w:delText>
        </w:r>
      </w:del>
      <w:ins w:id="144" w:author="hkingers" w:date="2001-04-05T16:03:00Z">
        <w:r>
          <w:rPr/>
          <w:t>t</w:t>
        </w:r>
      </w:ins>
      <w:r>
        <w:rPr/>
        <w:t xml:space="preserve"> by the “under 130% of baseline</w:t>
      </w:r>
      <w:ins w:id="145" w:author="Tamara Johnson" w:date="2001-04-06T09:46:00Z">
        <w:r>
          <w:rPr/>
          <w:t>"</w:t>
        </w:r>
      </w:ins>
      <w:r>
        <w:rPr/>
        <w:t xml:space="preserve"> exemption</w:t>
      </w:r>
      <w:del w:id="146" w:author="Tamara Johnson" w:date="2001-04-06T09:46:00Z">
        <w:r>
          <w:rPr/>
          <w:delText>”</w:delText>
        </w:r>
      </w:del>
      <w:r>
        <w:rPr/>
        <w:t xml:space="preserve"> for residential must be collected from residential usage over 130% of baseline.   The rate increase that is being imposed through Commission Decision 01-01-082 will be a financial challenge for all customers, irrespective of class.  Cross-subsidization which would require one customer class to pick up the revenue shortfall of another will only serve to enhance that challenge to a point that certain commercial and industrial enterprises will not be able to withstand.  </w:t>
      </w:r>
      <w:ins w:id="147" w:author="Tamara Johnson" w:date="2001-04-06T09:46:00Z">
        <w:r>
          <w:rPr/>
          <w:t xml:space="preserve"> As described above, the baseline/tiering mechansim is, in itself, reasonable and can be combined with market pricing to achieve the goals of conservation, fairness and the collection of revenue requirements.</w:t>
        </w:r>
      </w:ins>
    </w:p>
    <w:p>
      <w:pPr>
        <w:pStyle w:val="Normal"/>
        <w:numPr>
          <w:ilvl w:val="0"/>
          <w:numId w:val="2"/>
        </w:numPr>
        <w:spacing w:lineRule="auto" w:line="480"/>
        <w:jc w:val="both"/>
        <w:rPr>
          <w:b/>
          <w:ins w:id="150" w:author="Tamara Johnson" w:date="2001-04-06T09:50:00Z"/>
        </w:rPr>
      </w:pPr>
      <w:ins w:id="149" w:author="Tamara Johnson" w:date="2001-04-06T09:50:00Z">
        <w:r>
          <w:rPr>
            <w:b/>
          </w:rPr>
          <w:t>Design rates that are readily understood and easy to administer</w:t>
        </w:r>
      </w:ins>
    </w:p>
    <w:p>
      <w:pPr>
        <w:pStyle w:val="Normal"/>
        <w:spacing w:lineRule="auto" w:line="480"/>
        <w:jc w:val="both"/>
        <w:rPr/>
      </w:pPr>
      <w:ins w:id="151" w:author="Tamara Johnson" w:date="2001-04-06T09:50:00Z">
        <w:r>
          <w:rPr/>
          <w:t xml:space="preserve">The use of tiered rate, i.e. baseline usage, combined with market pricing is readily understood by all.  Knowing that excess use will be priced at market levels will do much to </w:t>
        </w:r>
      </w:ins>
      <w:ins w:id="152" w:author="Tamara Johnson" w:date="2001-04-06T09:52:00Z">
        <w:r>
          <w:rPr/>
          <w:t>discourage excess use.  The use of a baseline across all classes will go some distance in providing a target for all customers in their own conservation efforts.</w:t>
        </w:r>
      </w:ins>
    </w:p>
    <w:p>
      <w:pPr>
        <w:pStyle w:val="Normal"/>
        <w:spacing w:lineRule="auto" w:line="480"/>
        <w:jc w:val="both"/>
        <w:rPr/>
      </w:pPr>
      <w:r>
        <w:rPr/>
        <w:tab/>
        <w:t xml:space="preserve">In sum, Enron submits that if the Commission adopts rates that are designed in a manner </w:t>
      </w:r>
      <w:del w:id="153" w:author="Tamara Johnson" w:date="2001-04-06T09:48:00Z">
        <w:r>
          <w:rPr/>
          <w:delText xml:space="preserve">which </w:delText>
        </w:r>
      </w:del>
      <w:ins w:id="154" w:author="Tamara Johnson" w:date="2001-04-06T09:48:00Z">
        <w:r>
          <w:rPr/>
          <w:t xml:space="preserve">that  </w:t>
        </w:r>
      </w:ins>
      <w:r>
        <w:rPr/>
        <w:t xml:space="preserve">(1) </w:t>
      </w:r>
      <w:ins w:id="155" w:author="Tamara Johnson" w:date="2001-04-06T09:47:00Z">
        <w:r>
          <w:rPr/>
          <w:t>give appropriate price signals to all customer classes</w:t>
        </w:r>
      </w:ins>
      <w:del w:id="156" w:author="Tamara Johnson" w:date="2001-04-06T09:48:00Z">
        <w:r>
          <w:rPr/>
          <w:delText>reflect costs imposed on the system by the customer, irrespective of class</w:delText>
        </w:r>
      </w:del>
      <w:ins w:id="157" w:author="Tamara Johnson" w:date="2001-04-06T09:49:00Z">
        <w:r>
          <w:rPr/>
          <w:t xml:space="preserve">, </w:t>
        </w:r>
      </w:ins>
      <w:del w:id="158" w:author="Tamara Johnson" w:date="2001-04-06T09:49:00Z">
        <w:r>
          <w:rPr/>
          <w:delText xml:space="preserve">, (2) give appropriate price signals to all customer classes, and </w:delText>
        </w:r>
      </w:del>
      <w:r>
        <w:rPr/>
        <w:t>(</w:t>
      </w:r>
      <w:del w:id="159" w:author="Tamara Johnson" w:date="2001-04-06T09:49:00Z">
        <w:r>
          <w:rPr/>
          <w:delText>3</w:delText>
        </w:r>
      </w:del>
      <w:ins w:id="160" w:author="Tamara Johnson" w:date="2001-04-06T09:49:00Z">
        <w:r>
          <w:rPr/>
          <w:t>2</w:t>
        </w:r>
      </w:ins>
      <w:r>
        <w:rPr/>
        <w:t xml:space="preserve">) </w:t>
      </w:r>
      <w:ins w:id="161" w:author="Tamara Johnson" w:date="2001-04-06T09:49:00Z">
        <w:r>
          <w:rPr/>
          <w:t>reflects the costs imposed on the system by the customer</w:t>
        </w:r>
      </w:ins>
      <w:ins w:id="162" w:author="Tamara Johnson" w:date="2001-04-06T09:54:00Z">
        <w:r>
          <w:rPr/>
          <w:t xml:space="preserve"> in an equitable manner across all classes</w:t>
        </w:r>
      </w:ins>
      <w:ins w:id="163" w:author="Tamara Johnson" w:date="2001-04-06T09:49:00Z">
        <w:r>
          <w:rPr/>
          <w:t>, and (3) collect</w:t>
        </w:r>
      </w:ins>
      <w:ins w:id="164" w:author="Tamara Johnson" w:date="2001-04-06T09:54:00Z">
        <w:r>
          <w:rPr/>
          <w:t>s</w:t>
        </w:r>
      </w:ins>
      <w:ins w:id="165" w:author="Tamara Johnson" w:date="2001-04-06T09:50:00Z">
        <w:r>
          <w:rPr/>
          <w:t xml:space="preserve"> the targeted rate increase </w:t>
        </w:r>
      </w:ins>
      <w:ins w:id="166" w:author="Tamara Johnson" w:date="2001-04-06T09:54:00Z">
        <w:r>
          <w:rPr/>
          <w:t>while</w:t>
        </w:r>
      </w:ins>
      <w:ins w:id="167" w:author="Tamara Johnson" w:date="2001-04-06T09:50:00Z">
        <w:r>
          <w:rPr/>
          <w:t xml:space="preserve"> </w:t>
        </w:r>
      </w:ins>
      <w:r>
        <w:rPr/>
        <w:t>avoid</w:t>
      </w:r>
      <w:ins w:id="168" w:author="Tamara Johnson" w:date="2001-04-06T09:50:00Z">
        <w:r>
          <w:rPr/>
          <w:t>ing</w:t>
        </w:r>
      </w:ins>
      <w:r>
        <w:rPr/>
        <w:t xml:space="preserve"> cross subsidization </w:t>
      </w:r>
      <w:del w:id="169" w:author="Tamara Johnson" w:date="2001-04-06T09:50:00Z">
        <w:r>
          <w:rPr/>
          <w:delText>across customer classes such</w:delText>
        </w:r>
      </w:del>
      <w:ins w:id="170" w:author="Tamara Johnson" w:date="2001-04-06T09:50:00Z">
        <w:r>
          <w:rPr/>
          <w:t>such</w:t>
        </w:r>
      </w:ins>
      <w:r>
        <w:rPr/>
        <w:t xml:space="preserve"> that all </w:t>
      </w:r>
      <w:ins w:id="171" w:author="Tamara Johnson" w:date="2001-04-06T09:50:00Z">
        <w:r>
          <w:rPr/>
          <w:t xml:space="preserve">customers </w:t>
        </w:r>
      </w:ins>
      <w:r>
        <w:rPr/>
        <w:t>shoulder their fair share of the increase,</w:t>
      </w:r>
      <w:ins w:id="172" w:author="Tamara Johnson" w:date="2001-04-06T09:54:00Z">
        <w:r>
          <w:rPr/>
          <w:t xml:space="preserve"> and (4) provides these signals in an easy to understand way,</w:t>
        </w:r>
      </w:ins>
      <w:r>
        <w:rPr/>
        <w:t xml:space="preserve"> then the rates will serve as a vehicle to reduce the severe energy shortage in the state as well as minimize the impacts on the state’s economy.  </w:t>
      </w:r>
      <w:del w:id="173" w:author="hkingers" w:date="2001-04-05T16:04:00Z">
        <w:r>
          <w:rPr/>
          <w:delText xml:space="preserve">It is Enron’s intent, in accord with the schedule adopted at the rate design workshop of April 3, 2001, to submit specific rate design proposals which reflect these principles                                        </w:delText>
        </w:r>
      </w:del>
    </w:p>
    <w:p>
      <w:pPr>
        <w:pStyle w:val="Normal"/>
        <w:spacing w:lineRule="auto" w:line="480"/>
        <w:ind w:firstLine="720" w:start="3600" w:end="0"/>
        <w:jc w:val="both"/>
        <w:rPr/>
      </w:pPr>
      <w:r>
        <w:rPr/>
      </w:r>
    </w:p>
    <w:p>
      <w:pPr>
        <w:pStyle w:val="Normal"/>
        <w:spacing w:lineRule="auto" w:line="480"/>
        <w:ind w:firstLine="720" w:start="3600" w:end="0"/>
        <w:jc w:val="both"/>
        <w:rPr/>
      </w:pPr>
      <w:r>
        <w:rPr/>
        <w:t xml:space="preserve"> </w:t>
      </w:r>
      <w:r>
        <w:rPr/>
        <w:t xml:space="preserve">Respectfully submitted, </w:t>
      </w:r>
    </w:p>
    <w:p>
      <w:pPr>
        <w:pStyle w:val="PleadingSignature"/>
        <w:spacing w:before="240" w:after="0"/>
        <w:ind w:start="4320" w:end="0"/>
        <w:rPr/>
      </w:pPr>
      <w:r>
        <w:rPr/>
        <w:t>GOODIN, MACBRIDE, SQUERI,</w:t>
        <w:br/>
        <w:t>RITCHIE &amp; DAY, LLP</w:t>
      </w:r>
    </w:p>
    <w:p>
      <w:pPr>
        <w:pStyle w:val="PleadingSignature"/>
        <w:tabs>
          <w:tab w:val="left" w:pos="5040" w:leader="none"/>
          <w:tab w:val="left" w:pos="6480" w:leader="none"/>
          <w:tab w:val="right" w:pos="9360" w:leader="none"/>
        </w:tabs>
        <w:ind w:start="4320" w:end="0"/>
        <w:rPr/>
      </w:pPr>
      <w:r>
        <w:rPr/>
        <w:t>505 Sansome Street, Suite 900</w:t>
        <w:br/>
        <w:t>San Francisco, California  94111</w:t>
        <w:br/>
        <w:t>Telephone:  (415) 392-7900</w:t>
        <w:br/>
        <w:t>Facsimile:   (415) 398-4321</w:t>
      </w:r>
    </w:p>
    <w:p>
      <w:pPr>
        <w:pStyle w:val="PleadingSignature"/>
        <w:tabs>
          <w:tab w:val="left" w:pos="5040" w:leader="none"/>
          <w:tab w:val="left" w:pos="6480" w:leader="none"/>
          <w:tab w:val="right" w:pos="9360" w:leader="none"/>
        </w:tabs>
        <w:ind w:start="4320" w:end="0"/>
        <w:rPr/>
      </w:pPr>
      <w:r>
        <w:rPr/>
      </w:r>
    </w:p>
    <w:p>
      <w:pPr>
        <w:pStyle w:val="PleadingSignature"/>
        <w:tabs>
          <w:tab w:val="left" w:pos="5040" w:leader="none"/>
          <w:tab w:val="left" w:pos="6480" w:leader="none"/>
          <w:tab w:val="right" w:pos="9360" w:leader="none"/>
        </w:tabs>
        <w:ind w:start="4320" w:end="0"/>
        <w:rPr/>
      </w:pPr>
      <w:r>
        <w:rPr/>
      </w:r>
    </w:p>
    <w:p>
      <w:pPr>
        <w:pStyle w:val="PleadingSignature"/>
        <w:tabs>
          <w:tab w:val="left" w:pos="5040" w:leader="none"/>
          <w:tab w:val="left" w:pos="6480" w:leader="none"/>
          <w:tab w:val="right" w:pos="9360" w:leader="none"/>
        </w:tabs>
        <w:ind w:start="4320" w:end="0"/>
        <w:rPr/>
      </w:pPr>
      <w:r>
        <w:rPr/>
        <w:t>By_________________________</w:t>
      </w:r>
    </w:p>
    <w:p>
      <w:pPr>
        <w:pStyle w:val="PleadingSignature"/>
        <w:tabs>
          <w:tab w:val="left" w:pos="5040" w:leader="none"/>
          <w:tab w:val="left" w:pos="6480" w:leader="none"/>
          <w:tab w:val="right" w:pos="9360" w:leader="none"/>
        </w:tabs>
        <w:ind w:start="4320" w:end="0"/>
        <w:rPr/>
      </w:pPr>
      <w:r>
        <w:rPr/>
        <w:tab/>
        <w:t xml:space="preserve">Michael B. Day </w:t>
      </w:r>
    </w:p>
    <w:p>
      <w:pPr>
        <w:pStyle w:val="PleadingSignature"/>
        <w:tabs>
          <w:tab w:val="left" w:pos="5040" w:leader="none"/>
          <w:tab w:val="left" w:pos="6480" w:leader="none"/>
          <w:tab w:val="right" w:pos="9360" w:leader="none"/>
        </w:tabs>
        <w:ind w:start="4320" w:end="0"/>
        <w:rPr/>
      </w:pPr>
      <w:r>
        <w:rPr/>
        <w:tab/>
        <w:t>Jeanne M. Bennett</w:t>
      </w:r>
    </w:p>
    <w:p>
      <w:pPr>
        <w:pStyle w:val="PleadingSignature"/>
        <w:tabs>
          <w:tab w:val="left" w:pos="5040" w:leader="none"/>
          <w:tab w:val="left" w:pos="6480" w:leader="none"/>
          <w:tab w:val="right" w:pos="9360" w:leader="none"/>
        </w:tabs>
        <w:ind w:start="4320" w:end="0"/>
        <w:rPr/>
      </w:pPr>
      <w:r>
        <w:rPr/>
      </w:r>
    </w:p>
    <w:p>
      <w:pPr>
        <w:pStyle w:val="PleadingSignature"/>
        <w:tabs>
          <w:tab w:val="left" w:pos="5040" w:leader="none"/>
          <w:tab w:val="left" w:pos="6480" w:leader="none"/>
          <w:tab w:val="right" w:pos="9360" w:leader="none"/>
        </w:tabs>
        <w:ind w:start="4320" w:end="0"/>
        <w:rPr/>
      </w:pPr>
      <w:r>
        <w:rPr/>
        <w:t>Attorneys for</w:t>
      </w:r>
    </w:p>
    <w:p>
      <w:pPr>
        <w:pStyle w:val="PleadingSignature"/>
        <w:tabs>
          <w:tab w:val="left" w:pos="5040" w:leader="none"/>
          <w:tab w:val="left" w:pos="6480" w:leader="none"/>
          <w:tab w:val="right" w:pos="9360" w:leader="none"/>
        </w:tabs>
        <w:ind w:start="4320" w:end="0"/>
        <w:rPr/>
      </w:pPr>
      <w:r>
        <w:rPr/>
        <w:t>Enron Energy Services, Inc.</w:t>
      </w:r>
    </w:p>
    <w:p>
      <w:pPr>
        <w:pStyle w:val="PleadingSignature"/>
        <w:tabs>
          <w:tab w:val="left" w:pos="5040" w:leader="none"/>
          <w:tab w:val="left" w:pos="6480" w:leader="none"/>
          <w:tab w:val="right" w:pos="9360" w:leader="none"/>
        </w:tabs>
        <w:ind w:start="4320" w:end="0"/>
        <w:rPr/>
      </w:pPr>
      <w:r>
        <w:rPr/>
      </w:r>
    </w:p>
    <w:p>
      <w:pPr>
        <w:pStyle w:val="Normal"/>
        <w:spacing w:lineRule="auto" w:line="480"/>
        <w:jc w:val="both"/>
        <w:rPr/>
      </w:pPr>
      <w:r>
        <w:rPr/>
        <w:t>April 6, 2001</w:t>
      </w:r>
    </w:p>
    <w:p>
      <w:pPr>
        <w:pStyle w:val="Normal"/>
        <w:spacing w:lineRule="auto" w:line="480"/>
        <w:jc w:val="both"/>
        <w:rPr/>
      </w:pPr>
      <w:r>
        <w:rPr/>
      </w:r>
    </w:p>
    <w:p>
      <w:pPr>
        <w:pStyle w:val="Normal"/>
        <w:spacing w:lineRule="auto" w:line="480"/>
        <w:ind w:firstLine="720" w:end="0"/>
        <w:jc w:val="both"/>
        <w:rPr/>
      </w:pPr>
      <w:r>
        <w:rPr/>
        <w:t xml:space="preserve">                    </w:t>
      </w:r>
    </w:p>
    <w:p>
      <w:pPr>
        <w:pStyle w:val="Normal"/>
        <w:spacing w:lineRule="exact" w:line="200" w:before="240" w:after="0"/>
        <w:rPr/>
      </w:pPr>
      <w:r>
        <w:rPr>
          <w:rStyle w:val="zzmpTrailerItem"/>
        </w:rPr>
        <w:t>2704/147/X23291-1</w:t>
      </w:r>
      <w:r>
        <w:rPr/>
        <w:t xml:space="preserve"> </w:t>
      </w:r>
    </w:p>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720" w:top="1152" w:footer="720" w:bottom="1152"/>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ind w:hanging="720" w:start="720" w:end="0"/>
        <w:jc w:val="both"/>
        <w:rPr/>
      </w:pPr>
      <w:r>
        <w:rPr>
          <w:rStyle w:val="FootnoteCharacters"/>
        </w:rPr>
        <w:footnoteRef/>
      </w:r>
      <w:r>
        <w:rPr/>
        <w:t xml:space="preserve"> </w:t>
      </w:r>
      <w:r>
        <w:rPr/>
        <w:tab/>
        <w:t>Baseline usage could be defined as the amount of energy consumed by the customer in the same month and rating period in the prior year.</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revisionView w:insDel="0" w:formatting="0"/>
  <w:trackRevisions/>
  <w:defaultTabStop w:val="720"/>
  <w:autoHyphenation w:val="true"/>
  <w:hyphenationZone w:val="0"/>
  <w:footnotePr>
    <w:numFmt w:val="decimal"/>
    <w:footnote w:id="0"/>
    <w:footnote w:id="1"/>
  </w:footnotePr>
  <w:compat>
    <w:compatSetting w:name="compatibilityMode" w:uri="http://schemas.microsoft.com/office/word" w:val="11"/>
  </w:compat>
  <w:docVars>
    <w:docVar w:name="bWasHeadingSet" w:val="False"/>
    <w:docVar w:name="iTrailerType" w:val="1"/>
    <w:docVar w:name="zzmpFixed_MacPacVersion" w:val="97"/>
    <w:docVar w:name="zzmpFixedDOC_ID" w:val="2704/147/X23291-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2z0">
    <w:name w:val="WW8Num12z0"/>
    <w:qFormat/>
    <w:rPr>
      <w:b/>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b/>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character" w:styleId="EndnoteReference">
    <w:name w:val="endnote reference"/>
    <w:rPr>
      <w:vertAlign w:val="superscript"/>
    </w:rPr>
  </w:style>
  <w:style w:type="character" w:styleId="EndnoteCharacters">
    <w:name w:val="Endnote Characters"/>
    <w:qFormat/>
    <w:rPr/>
  </w:style>
  <w:style w:type="character" w:styleId="FootnoteReference">
    <w:name w:val="foot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720" w:end="0"/>
    </w:pPr>
    <w:rPr/>
  </w:style>
  <w:style w:type="paragraph" w:styleId="LHFirmName">
    <w:name w:val="LH Firm Name"/>
    <w:basedOn w:val="Normal"/>
    <w:qFormat/>
    <w:pPr/>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spacing w:before="0" w:after="240"/>
      <w:ind w:hanging="720" w:start="720" w:end="0"/>
      <w:jc w:val="both"/>
    </w:pPr>
    <w:rPr>
      <w:sz w:val="22"/>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bidi="ar-SA" w:eastAsia="zh-C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u w:val="single"/>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before="0" w:after="240"/>
      <w:ind w:hanging="0" w:start="1440" w:end="1440"/>
    </w:pPr>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2001-04-06T11:54:00Z</dcterms:created>
  <dc:creator>JMB</dc:creator>
  <dc:description/>
  <dc:language>en-CA</dc:language>
  <cp:lastModifiedBy>Tamara Johnson</cp:lastModifiedBy>
  <dcterms:modified xsi:type="dcterms:W3CDTF">2001-04-06T12:25:00Z</dcterms:modified>
  <cp:revision>5</cp:revision>
  <dc:subject/>
  <dc:title>BEFORE THE PUBLIC UTILITIES COMMISSION</dc:title>
</cp:coreProperties>
</file>