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sz w:val="22"/>
          <w:szCs w:val="20"/>
        </w:rPr>
      </w:pPr>
      <w:r>
        <w:rPr>
          <w:rFonts w:cs="Helv;Arial" w:ascii="Helv;Arial" w:hAnsi="Helv;Arial"/>
          <w:color w:val="000000"/>
          <w:sz w:val="22"/>
          <w:szCs w:val="20"/>
        </w:rPr>
        <w:t>Nature of Enron’s comments on CPUC’s rate design goals:</w:t>
      </w:r>
    </w:p>
    <w:p>
      <w:pPr>
        <w:pStyle w:val="Normal"/>
        <w:autoSpaceDE w:val="false"/>
        <w:spacing w:lineRule="atLeast" w:line="240"/>
        <w:rPr>
          <w:rFonts w:ascii="Helv;Arial" w:hAnsi="Helv;Arial" w:cs="Helv;Arial"/>
          <w:color w:val="000000"/>
          <w:sz w:val="22"/>
          <w:szCs w:val="20"/>
        </w:rPr>
      </w:pPr>
      <w:r>
        <w:rPr>
          <w:rFonts w:cs="Helv;Arial" w:ascii="Helv;Arial" w:hAnsi="Helv;Arial"/>
          <w:color w:val="000000"/>
          <w:sz w:val="22"/>
          <w:szCs w:val="20"/>
        </w:rPr>
      </w:r>
    </w:p>
    <w:p>
      <w:pPr>
        <w:pStyle w:val="Normal"/>
        <w:autoSpaceDE w:val="false"/>
        <w:spacing w:lineRule="atLeast" w:line="240"/>
        <w:rPr/>
      </w:pPr>
      <w:r>
        <w:rPr>
          <w:rFonts w:cs="Helv;Arial" w:ascii="Helv;Arial" w:hAnsi="Helv;Arial"/>
          <w:color w:val="000000"/>
          <w:sz w:val="22"/>
          <w:szCs w:val="20"/>
        </w:rPr>
        <w:t xml:space="preserve">CPUC should clarify whether 3 cent surcharge applies to direct access.  (We should </w:t>
      </w:r>
      <w:r>
        <w:rPr>
          <w:rFonts w:cs="Helv;Arial" w:ascii="Helv;Arial" w:hAnsi="Helv;Arial"/>
          <w:b/>
          <w:bCs/>
          <w:color w:val="000000"/>
          <w:sz w:val="22"/>
          <w:szCs w:val="20"/>
        </w:rPr>
        <w:t>not</w:t>
      </w:r>
      <w:r>
        <w:rPr>
          <w:rFonts w:cs="Helv;Arial" w:ascii="Helv;Arial" w:hAnsi="Helv;Arial"/>
          <w:color w:val="000000"/>
          <w:sz w:val="22"/>
          <w:szCs w:val="20"/>
        </w:rPr>
        <w:t xml:space="preserve"> address, at this time, our position on that issue.)</w:t>
      </w:r>
    </w:p>
    <w:p>
      <w:pPr>
        <w:pStyle w:val="Normal"/>
        <w:autoSpaceDE w:val="false"/>
        <w:spacing w:lineRule="atLeast" w:line="240"/>
        <w:rPr>
          <w:rFonts w:ascii="Helv;Arial" w:hAnsi="Helv;Arial" w:cs="Helv;Arial"/>
          <w:color w:val="000000"/>
          <w:sz w:val="22"/>
          <w:szCs w:val="20"/>
        </w:rPr>
      </w:pPr>
      <w:r>
        <w:rPr>
          <w:rFonts w:cs="Helv;Arial" w:ascii="Helv;Arial" w:hAnsi="Helv;Arial"/>
          <w:color w:val="000000"/>
          <w:sz w:val="22"/>
          <w:szCs w:val="20"/>
        </w:rPr>
      </w:r>
    </w:p>
    <w:p>
      <w:pPr>
        <w:pStyle w:val="Normal"/>
        <w:autoSpaceDE w:val="false"/>
        <w:spacing w:lineRule="atLeast" w:line="240"/>
        <w:rPr/>
      </w:pPr>
      <w:r>
        <w:rPr>
          <w:rFonts w:cs="Helv;Arial" w:ascii="Helv;Arial" w:hAnsi="Helv;Arial"/>
          <w:i/>
          <w:iCs/>
          <w:color w:val="000000"/>
          <w:sz w:val="22"/>
          <w:szCs w:val="20"/>
        </w:rPr>
        <w:t xml:space="preserve">CPUC’s goal to reduce the disparity in prices paid for energy among customer classes: </w:t>
      </w:r>
      <w:r>
        <w:rPr>
          <w:rFonts w:cs="Helv;Arial" w:ascii="Helv;Arial" w:hAnsi="Helv;Arial"/>
          <w:color w:val="000000"/>
          <w:sz w:val="22"/>
          <w:szCs w:val="20"/>
        </w:rPr>
        <w:t xml:space="preserve"> Enron suggests a restatement of this goal.  Energy prices should be an accurate indication of the costs imposed on the system.  For example, the average cost of 1 kW @ 100% load factor is much different than 1 kW used at 30% load factor, all on-peak, and much different than 1 kW used at 70% load factor, all off-peak.  In practice, each customer class has a mixture of customers leaning toward each of these extreme.  True equity requires that customers with similar load patterns pay non-disparate energy prices, </w:t>
      </w:r>
      <w:r>
        <w:rPr>
          <w:rFonts w:cs="Helv;Arial" w:ascii="Helv;Arial" w:hAnsi="Helv;Arial"/>
          <w:b/>
          <w:bCs/>
          <w:color w:val="000000"/>
          <w:sz w:val="22"/>
          <w:szCs w:val="20"/>
        </w:rPr>
        <w:t>regardless</w:t>
      </w:r>
      <w:r>
        <w:rPr>
          <w:rFonts w:cs="Helv;Arial" w:ascii="Helv;Arial" w:hAnsi="Helv;Arial"/>
          <w:color w:val="000000"/>
          <w:sz w:val="22"/>
          <w:szCs w:val="20"/>
        </w:rPr>
        <w:t xml:space="preserve"> of which class the customer is in.   A more proper statement of this goal is:  reduce the disparity between prices paid for energy and costs imposed on the system across all customer classes.  The CPUC should not attempt to address the inter-class equity issue until there has been a thorough investigation of the perceived disparities.</w:t>
      </w:r>
    </w:p>
    <w:p>
      <w:pPr>
        <w:pStyle w:val="Normal"/>
        <w:keepLines/>
        <w:autoSpaceDE w:val="false"/>
        <w:spacing w:lineRule="atLeast" w:line="240"/>
        <w:rPr>
          <w:rFonts w:ascii="Helv;Arial" w:hAnsi="Helv;Arial" w:cs="Helv;Arial"/>
          <w:color w:val="000000"/>
          <w:sz w:val="22"/>
          <w:szCs w:val="20"/>
        </w:rPr>
      </w:pPr>
      <w:r>
        <w:rPr>
          <w:rFonts w:cs="Helv;Arial" w:ascii="Helv;Arial" w:hAnsi="Helv;Arial"/>
          <w:color w:val="000000"/>
          <w:sz w:val="22"/>
          <w:szCs w:val="20"/>
        </w:rPr>
      </w:r>
    </w:p>
    <w:p>
      <w:pPr>
        <w:pStyle w:val="Normal"/>
        <w:keepLines/>
        <w:autoSpaceDE w:val="false"/>
        <w:spacing w:lineRule="atLeast" w:line="240"/>
        <w:rPr/>
      </w:pPr>
      <w:r>
        <w:rPr>
          <w:rFonts w:cs="Helv;Arial" w:ascii="Helv;Arial" w:hAnsi="Helv;Arial"/>
          <w:i/>
          <w:iCs/>
          <w:color w:val="000000"/>
          <w:sz w:val="22"/>
          <w:szCs w:val="20"/>
        </w:rPr>
        <w:t xml:space="preserve">Use rate design to promote conservation:  </w:t>
      </w:r>
      <w:r>
        <w:rPr>
          <w:rFonts w:cs="Helv;Arial" w:ascii="Helv;Arial" w:hAnsi="Helv;Arial"/>
          <w:color w:val="000000"/>
          <w:sz w:val="22"/>
          <w:szCs w:val="20"/>
        </w:rPr>
        <w:t xml:space="preserve"> For the residential and small to medium commercial classes, the Commission is using rate tiers to promote this goal.  For the non-residential classes, the Commission should consider two alternative types of rate design to promote this goal.  First, it could implement tiers for these customers that mimic the tiers for smaller customers.  For example, some portion of “baseline usage” (say 90%) could be priced at existing rates, and the rate increase could be imposed on the last 10% of baseline usage (and any usage exceeding baseline).  Baseline usage would be defined as the amount of energy consumed by the customer in the same month and rating period in the prior year.  Enron believes it is imperative to couple this approach, if it is adopted, with a demand-buy down program, administered either by the ISO or through the CPUC, that pays large customers market prices for load reductions below, say, 90% of baseline usage.  </w:t>
      </w:r>
    </w:p>
    <w:p>
      <w:pPr>
        <w:pStyle w:val="Normal"/>
        <w:keepLines/>
        <w:autoSpaceDE w:val="false"/>
        <w:spacing w:lineRule="atLeast" w:line="240"/>
        <w:rPr>
          <w:rFonts w:ascii="Helv;Arial" w:hAnsi="Helv;Arial" w:cs="Helv;Arial"/>
          <w:color w:val="000000"/>
          <w:sz w:val="22"/>
          <w:szCs w:val="20"/>
        </w:rPr>
      </w:pPr>
      <w:r>
        <w:rPr>
          <w:rFonts w:cs="Helv;Arial" w:ascii="Helv;Arial" w:hAnsi="Helv;Arial"/>
          <w:color w:val="000000"/>
          <w:sz w:val="22"/>
          <w:szCs w:val="20"/>
        </w:rPr>
      </w:r>
    </w:p>
    <w:p>
      <w:pPr>
        <w:pStyle w:val="Normal"/>
        <w:keepLines/>
        <w:autoSpaceDE w:val="false"/>
        <w:spacing w:lineRule="atLeast" w:line="240"/>
        <w:rPr>
          <w:rFonts w:ascii="Helv;Arial" w:hAnsi="Helv;Arial" w:cs="Helv;Arial"/>
          <w:color w:val="000000"/>
          <w:sz w:val="22"/>
          <w:szCs w:val="20"/>
        </w:rPr>
      </w:pPr>
      <w:r>
        <w:rPr>
          <w:rFonts w:cs="Helv;Arial" w:ascii="Helv;Arial" w:hAnsi="Helv;Arial"/>
          <w:color w:val="000000"/>
          <w:sz w:val="22"/>
          <w:szCs w:val="20"/>
        </w:rPr>
        <w:t xml:space="preserve">The second alternative recognizes that, traditionally, the Commission has favored rate designs that reflect marginal costs.  Marginal cost pricing, in and of itself promotes efficient use of energy because of the many reasons the CPUC itself has cited over the years.  In the situation at hand,  the indicators of marginal cost in the wholesale power market are CDWR's purchase cost in hours when the CDWR is covering the net short, and the hourly wholesale spot market price (the wholesale on-peak forward curve, as a proxy)  in hours when the CDWR is not filling the net short.  On- and off-peak rates would be set in equal proportions to the relevant wholesale price indicator.  </w:t>
      </w:r>
    </w:p>
    <w:p>
      <w:pPr>
        <w:pStyle w:val="Normal"/>
        <w:keepLines/>
        <w:autoSpaceDE w:val="false"/>
        <w:spacing w:lineRule="atLeast" w:line="240"/>
        <w:rPr>
          <w:rFonts w:ascii="Helv;Arial" w:hAnsi="Helv;Arial" w:cs="Helv;Arial"/>
          <w:color w:val="000000"/>
          <w:sz w:val="22"/>
          <w:szCs w:val="20"/>
        </w:rPr>
      </w:pPr>
      <w:r>
        <w:rPr>
          <w:rFonts w:cs="Helv;Arial" w:ascii="Helv;Arial" w:hAnsi="Helv;Arial"/>
          <w:color w:val="000000"/>
          <w:sz w:val="22"/>
          <w:szCs w:val="20"/>
        </w:rPr>
      </w:r>
    </w:p>
    <w:p>
      <w:pPr>
        <w:pStyle w:val="Normal"/>
        <w:keepLines/>
        <w:autoSpaceDE w:val="false"/>
        <w:spacing w:lineRule="atLeast" w:line="240"/>
        <w:rPr>
          <w:rFonts w:ascii="Helv;Arial" w:hAnsi="Helv;Arial" w:cs="Helv;Arial"/>
          <w:color w:val="000000"/>
          <w:sz w:val="22"/>
          <w:szCs w:val="20"/>
        </w:rPr>
      </w:pPr>
      <w:r>
        <w:rPr>
          <w:rFonts w:cs="Helv;Arial" w:ascii="Helv;Arial" w:hAnsi="Helv;Arial"/>
          <w:color w:val="000000"/>
          <w:sz w:val="22"/>
          <w:szCs w:val="20"/>
        </w:rPr>
        <w:t>Using either of these two approaches, the Commission could avoid the pricing distortions that would occur if one period – such as the summer on-peak – was singled out to bear the brunt of the rate increase.</w:t>
      </w:r>
    </w:p>
    <w:p>
      <w:pPr>
        <w:pStyle w:val="Normal"/>
        <w:keepLines/>
        <w:autoSpaceDE w:val="false"/>
        <w:spacing w:lineRule="atLeast" w:line="240"/>
        <w:rPr>
          <w:rFonts w:ascii="Helv;Arial" w:hAnsi="Helv;Arial" w:cs="Helv;Arial"/>
          <w:color w:val="000000"/>
          <w:sz w:val="22"/>
          <w:szCs w:val="20"/>
        </w:rPr>
      </w:pPr>
      <w:r>
        <w:rPr>
          <w:rFonts w:cs="Helv;Arial" w:ascii="Helv;Arial" w:hAnsi="Helv;Arial"/>
          <w:color w:val="000000"/>
          <w:sz w:val="22"/>
          <w:szCs w:val="20"/>
        </w:rPr>
      </w:r>
    </w:p>
    <w:p>
      <w:pPr>
        <w:pStyle w:val="Normal"/>
        <w:keepLines/>
        <w:autoSpaceDE w:val="false"/>
        <w:spacing w:lineRule="atLeast" w:line="240"/>
        <w:rPr>
          <w:rFonts w:ascii="Helv;Arial" w:hAnsi="Helv;Arial" w:cs="Helv;Arial"/>
          <w:color w:val="000000"/>
          <w:sz w:val="22"/>
          <w:szCs w:val="20"/>
        </w:rPr>
      </w:pPr>
      <w:r>
        <w:rPr>
          <w:rFonts w:cs="Helv;Arial" w:ascii="Helv;Arial" w:hAnsi="Helv;Arial"/>
          <w:color w:val="000000"/>
          <w:sz w:val="22"/>
          <w:szCs w:val="20"/>
        </w:rPr>
        <w:t>Regarding the increase borne by the residential class, Enron’s view is that residentail usage should be assigned its full share of a 3 cent increase.  Allowing only usage above 130% of baseline to get the full brunt of the total residential increase is appropriate and consistent with the Enron proposal for large customers.</w:t>
      </w:r>
    </w:p>
    <w:p>
      <w:pPr>
        <w:pStyle w:val="Normal"/>
        <w:keepLines/>
        <w:autoSpaceDE w:val="false"/>
        <w:spacing w:lineRule="atLeast" w:line="240"/>
        <w:rPr>
          <w:rFonts w:ascii="Helv;Arial" w:hAnsi="Helv;Arial" w:cs="Helv;Arial"/>
          <w:color w:val="000000"/>
          <w:sz w:val="22"/>
          <w:szCs w:val="20"/>
        </w:rPr>
      </w:pPr>
      <w:r>
        <w:rPr>
          <w:rFonts w:cs="Helv;Arial" w:ascii="Helv;Arial" w:hAnsi="Helv;Arial"/>
          <w:color w:val="000000"/>
          <w:sz w:val="22"/>
          <w:szCs w:val="20"/>
        </w:rPr>
      </w:r>
    </w:p>
    <w:p>
      <w:pPr>
        <w:pStyle w:val="Normal"/>
        <w:keepLines/>
        <w:autoSpaceDE w:val="false"/>
        <w:spacing w:lineRule="atLeast" w:line="240"/>
        <w:rPr>
          <w:rFonts w:ascii="Helv;Arial" w:hAnsi="Helv;Arial" w:cs="Helv;Arial"/>
          <w:color w:val="000000"/>
          <w:sz w:val="22"/>
          <w:szCs w:val="20"/>
        </w:rPr>
      </w:pPr>
      <w:r>
        <w:rPr>
          <w:rFonts w:cs="Helv;Arial" w:ascii="Helv;Arial" w:hAnsi="Helv;Arial"/>
          <w:color w:val="000000"/>
          <w:sz w:val="22"/>
          <w:szCs w:val="20"/>
        </w:rPr>
      </w:r>
    </w:p>
    <w:p>
      <w:pPr>
        <w:pStyle w:val="Normal"/>
        <w:keepLines/>
        <w:autoSpaceDE w:val="false"/>
        <w:spacing w:lineRule="atLeast" w:line="240"/>
        <w:rPr>
          <w:rFonts w:ascii="Helv;Arial" w:hAnsi="Helv;Arial" w:cs="Helv;Arial"/>
          <w:color w:val="000000"/>
          <w:sz w:val="22"/>
          <w:szCs w:val="20"/>
        </w:rPr>
      </w:pPr>
      <w:r>
        <w:rPr>
          <w:rFonts w:cs="Helv;Arial" w:ascii="Helv;Arial" w:hAnsi="Helv;Arial"/>
          <w:color w:val="000000"/>
          <w:sz w:val="22"/>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2001-04-04T10:53:00Z</dcterms:created>
  <dc:creator>hkingers</dc:creator>
  <dc:description/>
  <dc:language>en-CA</dc:language>
  <cp:lastModifiedBy>hkingers</cp:lastModifiedBy>
  <cp:lastPrinted>2001-04-04T09:26:00Z</cp:lastPrinted>
  <dcterms:modified xsi:type="dcterms:W3CDTF">2001-04-04T12:00:00Z</dcterms:modified>
  <cp:revision>1</cp:revision>
  <dc:subject/>
  <dc:title>Nature of Enron’s comments on CPUC’s rate design goals:</dc:title>
</cp:coreProperties>
</file>