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CALIFORNIA - PGE PHASE II RATE CASE AND GENERIC DISTRIBUTED GENERATION CASE</w:t>
      </w:r>
    </w:p>
    <w:p>
      <w:pPr>
        <w:pStyle w:val="Normal"/>
        <w:rPr>
          <w:sz w:val="24"/>
        </w:rPr>
      </w:pPr>
      <w:r>
        <w:rPr>
          <w:sz w:val="24"/>
        </w:rPr>
      </w:r>
    </w:p>
    <w:p>
      <w:pPr>
        <w:pStyle w:val="Heading1"/>
        <w:ind w:hanging="0" w:start="720" w:end="0"/>
        <w:rPr>
          <w:sz w:val="24"/>
        </w:rPr>
      </w:pPr>
      <w:r>
        <w:rPr>
          <w:sz w:val="24"/>
        </w:rPr>
        <w:t>Distribution Rate Design Issues</w:t>
      </w:r>
    </w:p>
    <w:p>
      <w:pPr>
        <w:pStyle w:val="Normal"/>
        <w:rPr>
          <w:sz w:val="24"/>
        </w:rPr>
      </w:pPr>
      <w:r>
        <w:rPr>
          <w:sz w:val="24"/>
        </w:rPr>
      </w:r>
    </w:p>
    <w:p>
      <w:pPr>
        <w:pStyle w:val="Normal"/>
        <w:numPr>
          <w:ilvl w:val="0"/>
          <w:numId w:val="6"/>
        </w:numPr>
        <w:tabs>
          <w:tab w:val="clear" w:pos="720"/>
        </w:tabs>
        <w:rPr>
          <w:b/>
          <w:sz w:val="24"/>
        </w:rPr>
      </w:pPr>
      <w:r>
        <w:rPr>
          <w:b/>
          <w:sz w:val="24"/>
        </w:rPr>
        <w:t>Rate design for distribution delivery service</w:t>
      </w:r>
    </w:p>
    <w:p>
      <w:pPr>
        <w:pStyle w:val="Normal"/>
        <w:ind w:start="720" w:end="0"/>
        <w:rPr>
          <w:b/>
          <w:sz w:val="24"/>
        </w:rPr>
      </w:pPr>
      <w:r>
        <w:rPr>
          <w:b/>
          <w:sz w:val="24"/>
        </w:rPr>
      </w:r>
    </w:p>
    <w:p>
      <w:pPr>
        <w:pStyle w:val="Normal"/>
        <w:numPr>
          <w:ilvl w:val="0"/>
          <w:numId w:val="5"/>
        </w:numPr>
        <w:tabs>
          <w:tab w:val="clear" w:pos="720"/>
          <w:tab w:val="left" w:pos="1710" w:leader="none"/>
        </w:tabs>
        <w:ind w:hanging="360" w:start="1710" w:end="0"/>
        <w:rPr>
          <w:sz w:val="18"/>
        </w:rPr>
      </w:pPr>
      <w:r>
        <w:rPr>
          <w:sz w:val="18"/>
        </w:rPr>
        <w:t>Fixed vs. Volumetric: demand vs. energy vs. customer rates</w:t>
      </w:r>
    </w:p>
    <w:p>
      <w:pPr>
        <w:pStyle w:val="Normal"/>
        <w:numPr>
          <w:ilvl w:val="0"/>
          <w:numId w:val="5"/>
        </w:numPr>
        <w:tabs>
          <w:tab w:val="clear" w:pos="720"/>
          <w:tab w:val="left" w:pos="1710" w:leader="none"/>
        </w:tabs>
        <w:ind w:hanging="360" w:start="1710" w:end="0"/>
        <w:rPr>
          <w:sz w:val="18"/>
        </w:rPr>
      </w:pPr>
      <w:r>
        <w:rPr>
          <w:sz w:val="18"/>
        </w:rPr>
        <w:t>Time differentiated vs. Standard: on-peak vs. off-peak rates</w:t>
      </w:r>
    </w:p>
    <w:p>
      <w:pPr>
        <w:pStyle w:val="Normal"/>
        <w:numPr>
          <w:ilvl w:val="0"/>
          <w:numId w:val="5"/>
        </w:numPr>
        <w:tabs>
          <w:tab w:val="clear" w:pos="720"/>
          <w:tab w:val="left" w:pos="1710" w:leader="none"/>
        </w:tabs>
        <w:ind w:hanging="360" w:start="1710" w:end="0"/>
        <w:rPr>
          <w:sz w:val="18"/>
        </w:rPr>
      </w:pPr>
      <w:r>
        <w:rPr>
          <w:sz w:val="18"/>
        </w:rPr>
        <w:t xml:space="preserve">Seasonal vs. Standard: seasonal rates vs. uniform monthly rates </w:t>
      </w:r>
    </w:p>
    <w:p>
      <w:pPr>
        <w:pStyle w:val="Normal"/>
        <w:numPr>
          <w:ilvl w:val="0"/>
          <w:numId w:val="5"/>
        </w:numPr>
        <w:tabs>
          <w:tab w:val="clear" w:pos="720"/>
          <w:tab w:val="left" w:pos="1710" w:leader="none"/>
        </w:tabs>
        <w:ind w:hanging="360" w:start="1710" w:end="0"/>
        <w:rPr>
          <w:sz w:val="18"/>
        </w:rPr>
      </w:pPr>
      <w:r>
        <w:rPr>
          <w:sz w:val="18"/>
        </w:rPr>
        <w:t>Unit of measurement: kW vs. kVA</w:t>
      </w:r>
    </w:p>
    <w:p>
      <w:pPr>
        <w:pStyle w:val="Normal"/>
        <w:numPr>
          <w:ilvl w:val="0"/>
          <w:numId w:val="5"/>
        </w:numPr>
        <w:tabs>
          <w:tab w:val="clear" w:pos="720"/>
          <w:tab w:val="left" w:pos="1710" w:leader="none"/>
        </w:tabs>
        <w:ind w:hanging="360" w:start="1710" w:end="0"/>
        <w:rPr>
          <w:sz w:val="18"/>
        </w:rPr>
      </w:pPr>
      <w:r>
        <w:rPr>
          <w:sz w:val="18"/>
        </w:rPr>
        <w:t>Aggregation opportunity: localized vs. system wide</w:t>
      </w:r>
    </w:p>
    <w:p>
      <w:pPr>
        <w:pStyle w:val="Normal"/>
        <w:numPr>
          <w:ilvl w:val="0"/>
          <w:numId w:val="5"/>
        </w:numPr>
        <w:tabs>
          <w:tab w:val="clear" w:pos="720"/>
          <w:tab w:val="left" w:pos="1710" w:leader="none"/>
        </w:tabs>
        <w:ind w:hanging="360" w:start="1710" w:end="0"/>
        <w:rPr>
          <w:sz w:val="18"/>
        </w:rPr>
      </w:pPr>
      <w:r>
        <w:rPr>
          <w:sz w:val="18"/>
        </w:rPr>
        <w:t>Basis of determination: embedded costs vs. marginal costs reconciled to embedded revenue requirement</w:t>
      </w:r>
    </w:p>
    <w:p>
      <w:pPr>
        <w:pStyle w:val="Normal"/>
        <w:rPr>
          <w:sz w:val="24"/>
        </w:rPr>
      </w:pPr>
      <w:r>
        <w:rPr>
          <w:sz w:val="24"/>
        </w:rPr>
      </w:r>
    </w:p>
    <w:p>
      <w:pPr>
        <w:pStyle w:val="Normal"/>
        <w:ind w:hanging="1440" w:start="1440" w:end="0"/>
        <w:rPr/>
      </w:pPr>
      <w:r>
        <w:rPr>
          <w:i/>
          <w:sz w:val="24"/>
        </w:rPr>
        <w:t>Position</w:t>
      </w:r>
      <w:r>
        <w:rPr>
          <w:sz w:val="24"/>
        </w:rPr>
        <w:tab/>
        <w:t>Distribution delivery rates should reflect variations in cost incurred to meet the load profile.  The load profile has variations during the day, and across seasons.  Distribution delivery rates therefore should be time differentiated and/or seasonally differentiated.</w:t>
      </w:r>
    </w:p>
    <w:p>
      <w:pPr>
        <w:pStyle w:val="Normal"/>
        <w:rPr>
          <w:sz w:val="24"/>
        </w:rPr>
      </w:pPr>
      <w:r>
        <w:rPr>
          <w:sz w:val="24"/>
        </w:rPr>
      </w:r>
    </w:p>
    <w:p>
      <w:pPr>
        <w:pStyle w:val="Normal"/>
        <w:ind w:hanging="1440" w:start="1440" w:end="0"/>
        <w:rPr>
          <w:sz w:val="24"/>
        </w:rPr>
      </w:pPr>
      <w:r>
        <w:rPr>
          <w:sz w:val="24"/>
        </w:rPr>
        <w:tab/>
        <w:t>Some LDCS are likely to move toward fixed rates for distribution cost recovery based on an argument that once the system is in place, it is a fixed asset and costs are invariant to usage.  This argument should be rejected.  The argument implies there would be no change in the physical distribution system if it needed only to meet the minimum load.  As compared to this minimum load structure, there are additional costs incurred in the construction of the system to meet peak loads.</w:t>
      </w:r>
    </w:p>
    <w:p>
      <w:pPr>
        <w:pStyle w:val="Normal"/>
        <w:ind w:hanging="1440" w:start="1440" w:end="0"/>
        <w:rPr>
          <w:i/>
          <w:i/>
          <w:sz w:val="24"/>
        </w:rPr>
      </w:pPr>
      <w:r>
        <w:rPr>
          <w:i/>
          <w:sz w:val="24"/>
        </w:rPr>
      </w:r>
    </w:p>
    <w:p>
      <w:pPr>
        <w:pStyle w:val="Normal"/>
        <w:ind w:hanging="1440" w:start="1440" w:end="0"/>
        <w:rPr>
          <w:sz w:val="24"/>
        </w:rPr>
      </w:pPr>
      <w:r>
        <w:rPr>
          <w:sz w:val="24"/>
        </w:rPr>
        <w:tab/>
        <w:t>Distribution delivery rates should send price signals and not mask true costs of service.  Distribution systems are constructed and sized to meet peak load conditions.  Various types of distribution equipment have distinct peak requirements.  For instance, substations are sized to meet diversified peak load in the area served by the substation.  Local feeders, however, may need to be sized to meet maximum connected load, regardless of time of peak.  In other words, the degree to which customer diversity can be recognized in the distribution system diminishes as you move from point of entry to point of delivery.</w:t>
      </w:r>
    </w:p>
    <w:p>
      <w:pPr>
        <w:pStyle w:val="Normal"/>
        <w:ind w:hanging="1440" w:start="1440" w:end="0"/>
        <w:rPr>
          <w:sz w:val="24"/>
        </w:rPr>
      </w:pPr>
      <w:r>
        <w:rPr>
          <w:sz w:val="24"/>
        </w:rPr>
      </w:r>
    </w:p>
    <w:p>
      <w:pPr>
        <w:pStyle w:val="Normal"/>
        <w:ind w:hanging="1440" w:start="1440" w:end="0"/>
        <w:rPr>
          <w:sz w:val="24"/>
        </w:rPr>
      </w:pPr>
      <w:r>
        <w:rPr>
          <w:sz w:val="24"/>
        </w:rPr>
        <w:tab/>
        <w:t>Flat, uniform delivery rates do not recognize any potential diversity in customer load from a regional distribution peak.  The LDC should examine sub-components of the distribution system and separate costs according to whether load diversity can be recognized and whether peak load conditions affect size of the equipment.</w:t>
      </w:r>
    </w:p>
    <w:p>
      <w:pPr>
        <w:pStyle w:val="Normal"/>
        <w:ind w:hanging="1440" w:start="1440" w:end="0"/>
        <w:rPr>
          <w:sz w:val="24"/>
        </w:rPr>
      </w:pPr>
      <w:r>
        <w:rPr>
          <w:sz w:val="24"/>
        </w:rPr>
      </w:r>
    </w:p>
    <w:p>
      <w:pPr>
        <w:pStyle w:val="Normal"/>
        <w:ind w:hanging="1440" w:start="1440" w:end="0"/>
        <w:rPr/>
      </w:pPr>
      <w:r>
        <w:rPr>
          <w:sz w:val="24"/>
        </w:rPr>
        <w:tab/>
      </w:r>
      <w:r>
        <w:rPr>
          <w:i/>
          <w:sz w:val="24"/>
        </w:rPr>
        <w:t>(Issue: we may want some consulting help here to actually examine a system like PG&amp;E and show how this could work.)</w:t>
      </w:r>
    </w:p>
    <w:p>
      <w:pPr>
        <w:pStyle w:val="Normal"/>
        <w:rPr>
          <w:i/>
          <w:i/>
          <w:sz w:val="24"/>
        </w:rPr>
      </w:pPr>
      <w:r>
        <w:rPr>
          <w:i/>
          <w:sz w:val="24"/>
        </w:rPr>
      </w:r>
    </w:p>
    <w:p>
      <w:pPr>
        <w:pStyle w:val="Normal"/>
        <w:rPr>
          <w:sz w:val="24"/>
        </w:rPr>
      </w:pPr>
      <w:r>
        <w:rPr>
          <w:sz w:val="24"/>
        </w:rPr>
      </w:r>
    </w:p>
    <w:p>
      <w:pPr>
        <w:pStyle w:val="Normal"/>
        <w:ind w:hanging="360" w:start="1080" w:end="0"/>
        <w:rPr>
          <w:b/>
          <w:sz w:val="24"/>
        </w:rPr>
      </w:pPr>
      <w:r>
        <w:rPr>
          <w:b/>
          <w:sz w:val="24"/>
        </w:rPr>
        <w:t>2)</w:t>
        <w:tab/>
        <w:t>Exit Fees</w:t>
      </w:r>
    </w:p>
    <w:p>
      <w:pPr>
        <w:pStyle w:val="Normal"/>
        <w:rPr>
          <w:b/>
          <w:sz w:val="24"/>
        </w:rPr>
      </w:pPr>
      <w:r>
        <w:rPr>
          <w:b/>
          <w:sz w:val="24"/>
        </w:rPr>
      </w:r>
    </w:p>
    <w:p>
      <w:pPr>
        <w:pStyle w:val="Normal"/>
        <w:numPr>
          <w:ilvl w:val="0"/>
          <w:numId w:val="3"/>
        </w:numPr>
        <w:tabs>
          <w:tab w:val="clear" w:pos="720"/>
          <w:tab w:val="left" w:pos="1710" w:leader="none"/>
        </w:tabs>
        <w:ind w:hanging="360" w:start="1710" w:end="0"/>
        <w:rPr>
          <w:sz w:val="18"/>
        </w:rPr>
      </w:pPr>
      <w:r>
        <w:rPr>
          <w:sz w:val="18"/>
        </w:rPr>
        <w:t>Applicability with partial requirements</w:t>
      </w:r>
    </w:p>
    <w:p>
      <w:pPr>
        <w:pStyle w:val="Normal"/>
        <w:numPr>
          <w:ilvl w:val="0"/>
          <w:numId w:val="3"/>
        </w:numPr>
        <w:tabs>
          <w:tab w:val="clear" w:pos="720"/>
          <w:tab w:val="left" w:pos="1710" w:leader="none"/>
        </w:tabs>
        <w:ind w:hanging="360" w:start="1710" w:end="0"/>
        <w:rPr>
          <w:sz w:val="18"/>
        </w:rPr>
      </w:pPr>
      <w:r>
        <w:rPr>
          <w:sz w:val="18"/>
        </w:rPr>
        <w:t>Applicability with no requirements (complete disconnect)</w:t>
      </w:r>
    </w:p>
    <w:p>
      <w:pPr>
        <w:pStyle w:val="Normal"/>
        <w:numPr>
          <w:ilvl w:val="0"/>
          <w:numId w:val="3"/>
        </w:numPr>
        <w:tabs>
          <w:tab w:val="clear" w:pos="720"/>
          <w:tab w:val="left" w:pos="1710" w:leader="none"/>
        </w:tabs>
        <w:ind w:hanging="360" w:start="1710" w:end="0"/>
        <w:rPr>
          <w:sz w:val="18"/>
        </w:rPr>
      </w:pPr>
      <w:r>
        <w:rPr>
          <w:sz w:val="18"/>
        </w:rPr>
        <w:t>Existing vs. new load</w:t>
      </w:r>
    </w:p>
    <w:p>
      <w:pPr>
        <w:pStyle w:val="Normal"/>
        <w:rPr>
          <w:sz w:val="24"/>
        </w:rPr>
      </w:pPr>
      <w:r>
        <w:rPr>
          <w:sz w:val="24"/>
        </w:rPr>
      </w:r>
    </w:p>
    <w:p>
      <w:pPr>
        <w:pStyle w:val="BodyTextIndent"/>
        <w:tabs>
          <w:tab w:val="clear" w:pos="720"/>
          <w:tab w:val="left" w:pos="1440" w:leader="none"/>
        </w:tabs>
        <w:ind w:hanging="1440" w:start="1440" w:end="0"/>
        <w:rPr/>
      </w:pPr>
      <w:r>
        <w:rPr>
          <w:i/>
        </w:rPr>
        <w:t>Position</w:t>
      </w:r>
      <w:r>
        <w:rPr/>
        <w:tab/>
        <w:t xml:space="preserve">There should not be an application of exit fees by LDCs to departing load.  Customers are required to make payments as prescribed by the tariff when an extension to their site is constructed, and honor the term of contract required by the tariff.  The reason for the load departure is immaterial.  Regardless of reason for load departure, be it closing of the business or use of on-site generation, an exit fee should not apply.  LDCs have the ability to minimize risk for loss of load by extension policy pricing.  They are also compensated for this risk in their rate of return.  </w:t>
      </w:r>
    </w:p>
    <w:p>
      <w:pPr>
        <w:pStyle w:val="Normal"/>
        <w:rPr>
          <w:sz w:val="24"/>
        </w:rPr>
      </w:pPr>
      <w:r>
        <w:rPr>
          <w:sz w:val="24"/>
        </w:rPr>
      </w:r>
    </w:p>
    <w:p>
      <w:pPr>
        <w:pStyle w:val="BodyTextIndent2"/>
        <w:rPr/>
      </w:pPr>
      <w:r>
        <w:rPr/>
        <w:tab/>
        <w:t>One reasonable counter-argument that self-generation is different from business closure is that the utility does not have the opportunity, in the case of self-generation, for a new customer to replace the departing load.  If the customer remains connected to the grid, it will be subject to standby and that would mitigate revenue loss.  If the customer is not to remain connected to the grid, the utility should have the ability to cut a deal (with appropriate rules about transparency).  But the utility cannot be granted blanket immunity from risk through an exit fee.</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Standby Charges</w:t>
      </w:r>
    </w:p>
    <w:p>
      <w:pPr>
        <w:pStyle w:val="Normal"/>
        <w:tabs>
          <w:tab w:val="clear" w:pos="720"/>
          <w:tab w:val="left" w:pos="1080" w:leader="none"/>
        </w:tabs>
        <w:rPr>
          <w:b/>
          <w:sz w:val="24"/>
        </w:rPr>
      </w:pPr>
      <w:r>
        <w:rPr>
          <w:b/>
          <w:sz w:val="24"/>
        </w:rPr>
      </w:r>
    </w:p>
    <w:p>
      <w:pPr>
        <w:pStyle w:val="Normal"/>
        <w:numPr>
          <w:ilvl w:val="0"/>
          <w:numId w:val="4"/>
        </w:numPr>
        <w:tabs>
          <w:tab w:val="clear" w:pos="720"/>
          <w:tab w:val="left" w:pos="1710" w:leader="none"/>
        </w:tabs>
        <w:ind w:hanging="450" w:start="1800" w:end="0"/>
        <w:rPr>
          <w:sz w:val="18"/>
        </w:rPr>
      </w:pPr>
      <w:r>
        <w:rPr>
          <w:sz w:val="18"/>
        </w:rPr>
        <w:t>Method of Application:  Capacity-based vs. Usage-based</w:t>
      </w:r>
    </w:p>
    <w:p>
      <w:pPr>
        <w:pStyle w:val="Normal"/>
        <w:numPr>
          <w:ilvl w:val="0"/>
          <w:numId w:val="4"/>
        </w:numPr>
        <w:tabs>
          <w:tab w:val="clear" w:pos="720"/>
          <w:tab w:val="left" w:pos="1710" w:leader="none"/>
        </w:tabs>
        <w:ind w:hanging="450" w:start="1800" w:end="0"/>
        <w:rPr>
          <w:sz w:val="18"/>
        </w:rPr>
      </w:pPr>
      <w:r>
        <w:rPr>
          <w:sz w:val="18"/>
        </w:rPr>
        <w:t>Energy Charges:  standard vs. market</w:t>
      </w:r>
    </w:p>
    <w:p>
      <w:pPr>
        <w:pStyle w:val="Normal"/>
        <w:numPr>
          <w:ilvl w:val="0"/>
          <w:numId w:val="4"/>
        </w:numPr>
        <w:tabs>
          <w:tab w:val="clear" w:pos="720"/>
          <w:tab w:val="left" w:pos="1710" w:leader="none"/>
        </w:tabs>
        <w:ind w:hanging="450" w:start="1800" w:end="0"/>
        <w:rPr>
          <w:sz w:val="18"/>
        </w:rPr>
      </w:pPr>
      <w:r>
        <w:rPr>
          <w:sz w:val="18"/>
        </w:rPr>
        <w:t>Level of standby:  partial vs. full standby requirement</w:t>
      </w:r>
    </w:p>
    <w:p>
      <w:pPr>
        <w:pStyle w:val="Normal"/>
        <w:numPr>
          <w:ilvl w:val="0"/>
          <w:numId w:val="4"/>
        </w:numPr>
        <w:tabs>
          <w:tab w:val="clear" w:pos="720"/>
          <w:tab w:val="left" w:pos="1710" w:leader="none"/>
        </w:tabs>
        <w:ind w:hanging="450" w:start="1800" w:end="0"/>
        <w:rPr>
          <w:sz w:val="18"/>
        </w:rPr>
      </w:pPr>
      <w:r>
        <w:rPr>
          <w:sz w:val="18"/>
        </w:rPr>
        <w:t>Unbundling of Standby:  fully integrated vs. distribution (or transmission) only</w:t>
      </w:r>
    </w:p>
    <w:p>
      <w:pPr>
        <w:pStyle w:val="Normal"/>
        <w:rPr>
          <w:sz w:val="24"/>
        </w:rPr>
      </w:pPr>
      <w:r>
        <w:rPr>
          <w:sz w:val="24"/>
        </w:rPr>
      </w:r>
    </w:p>
    <w:p>
      <w:pPr>
        <w:pStyle w:val="Normal"/>
        <w:ind w:hanging="1440" w:start="1440" w:end="0"/>
        <w:rPr/>
      </w:pPr>
      <w:r>
        <w:rPr>
          <w:i/>
          <w:sz w:val="24"/>
        </w:rPr>
        <w:t>Position</w:t>
      </w:r>
      <w:r>
        <w:rPr>
          <w:sz w:val="24"/>
        </w:rPr>
        <w:tab/>
        <w:t>Standby charges should reflect actual cost imposed on the system and reliability of the customer’s unit.  Consistent with the recommendations on rate design, standby charges should take into account load diversity and customer reliability on that part of the system, as at the substation level, where load diversity reduces cost.  Where load diversity does not reduce cost, as on a dedicated feeder, reservation based on full cost may be appropriate.  Capacity-based demand charges are appropriate capacity reservation but the customer should have the flexibility of contracting for the desired level of capacity.</w:t>
      </w:r>
    </w:p>
    <w:p>
      <w:pPr>
        <w:pStyle w:val="Normal"/>
        <w:ind w:hanging="1440" w:start="1440" w:end="0"/>
        <w:rPr>
          <w:i/>
          <w:i/>
          <w:sz w:val="24"/>
        </w:rPr>
      </w:pPr>
      <w:r>
        <w:rPr>
          <w:i/>
          <w:sz w:val="24"/>
        </w:rPr>
      </w:r>
    </w:p>
    <w:p>
      <w:pPr>
        <w:pStyle w:val="Normal"/>
        <w:ind w:hanging="1440" w:start="1440" w:end="0"/>
        <w:rPr>
          <w:sz w:val="24"/>
        </w:rPr>
      </w:pPr>
      <w:r>
        <w:rPr>
          <w:sz w:val="24"/>
        </w:rPr>
        <w:tab/>
        <w:t>In open states, energy charges for use of standby should be unbundled from distribution reservation.  The customer should be able to purchase standby energy on the open market.  The LDC should make available, as an optional service, standby energy at market prices.  In unopened states, energy cannot be unbundled from capacity reservation service but market prices for energy are still appropriate.</w:t>
      </w:r>
    </w:p>
    <w:p>
      <w:pPr>
        <w:pStyle w:val="Normal"/>
        <w:ind w:hanging="1440" w:start="1440" w:end="0"/>
        <w:rPr>
          <w:sz w:val="24"/>
        </w:rPr>
      </w:pPr>
      <w:r>
        <w:rPr>
          <w:sz w:val="24"/>
        </w:rPr>
      </w:r>
    </w:p>
    <w:p>
      <w:pPr>
        <w:pStyle w:val="Normal"/>
        <w:ind w:hanging="1440" w:start="1440" w:end="0"/>
        <w:rPr>
          <w:sz w:val="24"/>
        </w:rPr>
      </w:pPr>
      <w:r>
        <w:rPr>
          <w:sz w:val="24"/>
        </w:rPr>
        <w:tab/>
        <w:t>In some states, commissions may move toward energy-based standby charges where the charge is imposed only when the standby service is actually used.  In this case, the charge may either by market-based or standard tariff rates.  This is ideal, but hard to argue for if the commission is not already predisposed to strongly encouraging on-site generation.</w:t>
      </w:r>
    </w:p>
    <w:p>
      <w:pPr>
        <w:pStyle w:val="Normal"/>
        <w:rPr>
          <w:sz w:val="24"/>
        </w:rPr>
      </w:pPr>
      <w:r>
        <w:rPr>
          <w:sz w:val="24"/>
        </w:rPr>
      </w:r>
    </w:p>
    <w:p>
      <w:pPr>
        <w:pStyle w:val="Normal"/>
        <w:numPr>
          <w:ilvl w:val="0"/>
          <w:numId w:val="2"/>
        </w:numPr>
        <w:rPr>
          <w:b/>
          <w:sz w:val="24"/>
        </w:rPr>
      </w:pPr>
      <w:r>
        <w:rPr>
          <w:b/>
          <w:sz w:val="24"/>
        </w:rPr>
        <w:t>Voltage, Equipment, and Location Differentiated Rates</w:t>
      </w:r>
    </w:p>
    <w:p>
      <w:pPr>
        <w:pStyle w:val="Normal"/>
        <w:rPr>
          <w:b/>
          <w:sz w:val="24"/>
        </w:rPr>
      </w:pPr>
      <w:r>
        <w:rPr>
          <w:b/>
          <w:sz w:val="24"/>
        </w:rPr>
      </w:r>
    </w:p>
    <w:p>
      <w:pPr>
        <w:pStyle w:val="Normal"/>
        <w:numPr>
          <w:ilvl w:val="0"/>
          <w:numId w:val="4"/>
        </w:numPr>
        <w:tabs>
          <w:tab w:val="clear" w:pos="720"/>
          <w:tab w:val="left" w:pos="1710" w:leader="none"/>
        </w:tabs>
        <w:ind w:hanging="450" w:start="1800" w:end="0"/>
        <w:rPr>
          <w:sz w:val="18"/>
        </w:rPr>
      </w:pPr>
      <w:r>
        <w:rPr>
          <w:sz w:val="18"/>
        </w:rPr>
        <w:t>General:  secondary vs. primary vs. transmission</w:t>
      </w:r>
    </w:p>
    <w:p>
      <w:pPr>
        <w:pStyle w:val="Normal"/>
        <w:numPr>
          <w:ilvl w:val="0"/>
          <w:numId w:val="4"/>
        </w:numPr>
        <w:tabs>
          <w:tab w:val="clear" w:pos="720"/>
          <w:tab w:val="left" w:pos="1710" w:leader="none"/>
        </w:tabs>
        <w:ind w:hanging="450" w:start="1800" w:end="0"/>
        <w:rPr>
          <w:sz w:val="18"/>
        </w:rPr>
      </w:pPr>
      <w:r>
        <w:rPr>
          <w:sz w:val="18"/>
        </w:rPr>
        <w:t>Voltage specific:  138 kV vs. 69 kV vs. 34 kV vs. 13 kV, for example</w:t>
      </w:r>
    </w:p>
    <w:p>
      <w:pPr>
        <w:pStyle w:val="Normal"/>
        <w:numPr>
          <w:ilvl w:val="0"/>
          <w:numId w:val="4"/>
        </w:numPr>
        <w:tabs>
          <w:tab w:val="clear" w:pos="720"/>
          <w:tab w:val="left" w:pos="1710" w:leader="none"/>
        </w:tabs>
        <w:ind w:hanging="450" w:start="1800" w:end="0"/>
        <w:rPr>
          <w:sz w:val="18"/>
        </w:rPr>
      </w:pPr>
      <w:r>
        <w:rPr>
          <w:sz w:val="18"/>
        </w:rPr>
        <w:t>Customer group:  residential vs. non-residential</w:t>
      </w:r>
    </w:p>
    <w:p>
      <w:pPr>
        <w:pStyle w:val="Normal"/>
        <w:numPr>
          <w:ilvl w:val="0"/>
          <w:numId w:val="4"/>
        </w:numPr>
        <w:tabs>
          <w:tab w:val="clear" w:pos="720"/>
          <w:tab w:val="left" w:pos="1710" w:leader="none"/>
        </w:tabs>
        <w:ind w:hanging="450" w:start="1800" w:end="0"/>
        <w:rPr>
          <w:sz w:val="18"/>
        </w:rPr>
      </w:pPr>
      <w:r>
        <w:rPr>
          <w:sz w:val="18"/>
        </w:rPr>
        <w:t>Equipment:  substation vs. feeder vs. radial line</w:t>
      </w:r>
    </w:p>
    <w:p>
      <w:pPr>
        <w:pStyle w:val="Normal"/>
        <w:numPr>
          <w:ilvl w:val="0"/>
          <w:numId w:val="4"/>
        </w:numPr>
        <w:tabs>
          <w:tab w:val="clear" w:pos="720"/>
          <w:tab w:val="left" w:pos="1710" w:leader="none"/>
        </w:tabs>
        <w:ind w:hanging="450" w:start="1800" w:end="0"/>
        <w:rPr>
          <w:sz w:val="18"/>
        </w:rPr>
      </w:pPr>
      <w:r>
        <w:rPr>
          <w:sz w:val="18"/>
        </w:rPr>
        <w:t>Location:  network vs. urban vs. suburban vs. rural</w:t>
      </w:r>
    </w:p>
    <w:p>
      <w:pPr>
        <w:pStyle w:val="Normal"/>
        <w:ind w:hanging="720" w:start="720" w:end="0"/>
        <w:rPr>
          <w:sz w:val="24"/>
        </w:rPr>
      </w:pPr>
      <w:r>
        <w:rPr>
          <w:sz w:val="24"/>
        </w:rPr>
      </w:r>
    </w:p>
    <w:p>
      <w:pPr>
        <w:pStyle w:val="BodyTextIndent"/>
        <w:ind w:hanging="1440" w:start="1440" w:end="0"/>
        <w:rPr/>
      </w:pPr>
      <w:r>
        <w:rPr>
          <w:i/>
        </w:rPr>
        <w:t>Position</w:t>
      </w:r>
      <w:r>
        <w:rPr/>
        <w:tab/>
        <w:t>As a general proposition, Enron supports cost-based voltage and geographic deaveraging of LDC rates.  Variations in quality of service and cost of service made possible or caused by voltage and location differences should be internalized into a customer’s property or business value.  Local tax rates, commercial density, aesthetics, availability of public services, and numerous other factors are all internalized into property value.  Electric service characteristics should be no different.</w:t>
      </w:r>
    </w:p>
    <w:p>
      <w:pPr>
        <w:pStyle w:val="BodyTextIndent"/>
        <w:ind w:hanging="1440" w:start="1440" w:end="0"/>
        <w:rPr>
          <w:i/>
          <w:i/>
        </w:rPr>
      </w:pPr>
      <w:r>
        <w:rPr>
          <w:i/>
        </w:rPr>
      </w:r>
    </w:p>
    <w:p>
      <w:pPr>
        <w:pStyle w:val="BodyTextIndent"/>
        <w:ind w:hanging="1440" w:start="1440" w:end="0"/>
        <w:rPr/>
      </w:pPr>
      <w:r>
        <w:rPr/>
        <w:tab/>
        <w:t>As a practical matter, there is a reasonable limit to geographic deaveraging and even voltage deaveraging.  There should be more deaveraging rather than less.  Differences between voltage classes should reflect embedded or long run marginal cost differences.  Voltage classes should group together voltages of similar cost.  There does not need to be a separate class for each voltage.</w:t>
      </w:r>
    </w:p>
    <w:p>
      <w:pPr>
        <w:pStyle w:val="BodyTextIndent"/>
        <w:ind w:hanging="1440" w:start="1440" w:end="0"/>
        <w:rPr/>
      </w:pPr>
      <w:r>
        <w:rPr/>
      </w:r>
    </w:p>
    <w:p>
      <w:pPr>
        <w:pStyle w:val="BodyTextIndent"/>
        <w:ind w:hanging="1440" w:start="1440" w:end="0"/>
        <w:rPr/>
      </w:pPr>
      <w:r>
        <w:rPr/>
        <w:tab/>
        <w:t xml:space="preserve">Equipment deaveraging would be captured by separately recognizing costs for substations and transformers, network distribution wires, and radial wires.  </w:t>
      </w:r>
    </w:p>
    <w:p>
      <w:pPr>
        <w:pStyle w:val="BodyTextIndent"/>
        <w:ind w:hanging="1440" w:start="1440" w:end="0"/>
        <w:rPr/>
      </w:pPr>
      <w:r>
        <w:rPr/>
      </w:r>
    </w:p>
    <w:p>
      <w:pPr>
        <w:pStyle w:val="BodyTextIndent"/>
        <w:ind w:hanging="1440" w:start="1440" w:end="0"/>
        <w:rPr/>
      </w:pPr>
      <w:r>
        <w:rPr/>
        <w:tab/>
        <w:t>The same principles should apply to location deaveraging.  Depending on the service territory, it may make sense to distinguish network vs. non-network, rural vs. urban, large lot vs. small lot, etc.  Location of substation could be another determinant.  Customers served from inter-peaking vs. summer-peaking substations could have different rate structures.  It is incumbent on the utility to recognize cost differences and propose appropriate groupings.</w:t>
      </w:r>
    </w:p>
    <w:p>
      <w:pPr>
        <w:pStyle w:val="BodyTextIndent"/>
        <w:ind w:hanging="1440" w:start="1440" w:end="0"/>
        <w:rPr/>
      </w:pPr>
      <w:r>
        <w:rPr/>
      </w:r>
    </w:p>
    <w:p>
      <w:pPr>
        <w:pStyle w:val="BodyTextIndent"/>
        <w:ind w:hanging="1440" w:start="1440" w:end="0"/>
        <w:rPr/>
      </w:pPr>
      <w:r>
        <w:rPr/>
        <w:tab/>
        <w:t>It is possible for the LDC to capture at least some of these cost differences through its extension pricing.  In other words, the need for voltage and location deaveraging in delivery rates can be mitigated if the LDC captures these cost differences in the extension charges.</w:t>
      </w:r>
    </w:p>
    <w:p>
      <w:pPr>
        <w:pStyle w:val="Normal"/>
        <w:ind w:hanging="720" w:start="720" w:end="0"/>
        <w:rPr>
          <w:sz w:val="24"/>
        </w:rPr>
      </w:pPr>
      <w:r>
        <w:rPr>
          <w:sz w:val="24"/>
        </w:rPr>
      </w:r>
    </w:p>
    <w:p>
      <w:pPr>
        <w:pStyle w:val="Normal"/>
        <w:ind w:hanging="720" w:start="720" w:end="0"/>
        <w:rPr>
          <w:sz w:val="24"/>
        </w:rPr>
      </w:pPr>
      <w:r>
        <w:rPr>
          <w:sz w:val="24"/>
        </w:rPr>
      </w:r>
    </w:p>
    <w:p>
      <w:pPr>
        <w:pStyle w:val="Normal"/>
        <w:tabs>
          <w:tab w:val="clear" w:pos="720"/>
          <w:tab w:val="left" w:pos="1080" w:leader="none"/>
        </w:tabs>
        <w:ind w:start="720" w:end="0"/>
        <w:rPr>
          <w:b/>
          <w:sz w:val="24"/>
        </w:rPr>
      </w:pPr>
      <w:r>
        <w:rPr>
          <w:b/>
          <w:sz w:val="24"/>
        </w:rPr>
        <w:t>5)</w:t>
        <w:tab/>
        <w:t>Regulatory Oversight</w:t>
      </w:r>
    </w:p>
    <w:p>
      <w:pPr>
        <w:pStyle w:val="Normal"/>
        <w:rPr>
          <w:b/>
          <w:sz w:val="24"/>
        </w:rPr>
      </w:pPr>
      <w:r>
        <w:rPr>
          <w:b/>
          <w:sz w:val="24"/>
        </w:rPr>
      </w:r>
    </w:p>
    <w:p>
      <w:pPr>
        <w:pStyle w:val="Normal"/>
        <w:numPr>
          <w:ilvl w:val="0"/>
          <w:numId w:val="4"/>
        </w:numPr>
        <w:tabs>
          <w:tab w:val="clear" w:pos="720"/>
          <w:tab w:val="left" w:pos="1710" w:leader="none"/>
        </w:tabs>
        <w:ind w:hanging="450" w:start="1800" w:end="0"/>
        <w:rPr>
          <w:sz w:val="18"/>
        </w:rPr>
      </w:pPr>
      <w:r>
        <w:rPr>
          <w:sz w:val="18"/>
        </w:rPr>
        <w:t>Revenue requirement:  Cost of service vs. PBR</w:t>
      </w:r>
    </w:p>
    <w:p>
      <w:pPr>
        <w:pStyle w:val="Normal"/>
        <w:numPr>
          <w:ilvl w:val="0"/>
          <w:numId w:val="4"/>
        </w:numPr>
        <w:tabs>
          <w:tab w:val="clear" w:pos="720"/>
          <w:tab w:val="left" w:pos="1710" w:leader="none"/>
        </w:tabs>
        <w:ind w:hanging="450" w:start="1800" w:end="0"/>
        <w:rPr>
          <w:sz w:val="18"/>
        </w:rPr>
      </w:pPr>
      <w:r>
        <w:rPr>
          <w:sz w:val="18"/>
        </w:rPr>
        <w:t>Reliability Measurement:  quantified standards vs. fix it when it’s broken</w:t>
      </w:r>
    </w:p>
    <w:p>
      <w:pPr>
        <w:pStyle w:val="Normal"/>
        <w:numPr>
          <w:ilvl w:val="0"/>
          <w:numId w:val="4"/>
        </w:numPr>
        <w:tabs>
          <w:tab w:val="clear" w:pos="720"/>
          <w:tab w:val="left" w:pos="1710" w:leader="none"/>
        </w:tabs>
        <w:ind w:hanging="450" w:start="1800" w:end="0"/>
        <w:rPr>
          <w:sz w:val="18"/>
        </w:rPr>
      </w:pPr>
      <w:r>
        <w:rPr>
          <w:sz w:val="18"/>
        </w:rPr>
        <w:t>Compensation for loss:  none vs. pre-defined payment vs. value of loss</w:t>
      </w:r>
    </w:p>
    <w:p>
      <w:pPr>
        <w:pStyle w:val="Normal"/>
        <w:numPr>
          <w:ilvl w:val="0"/>
          <w:numId w:val="4"/>
        </w:numPr>
        <w:tabs>
          <w:tab w:val="clear" w:pos="720"/>
          <w:tab w:val="left" w:pos="1710" w:leader="none"/>
        </w:tabs>
        <w:ind w:hanging="450" w:start="1800" w:end="0"/>
        <w:rPr>
          <w:sz w:val="18"/>
        </w:rPr>
      </w:pPr>
      <w:r>
        <w:rPr>
          <w:sz w:val="18"/>
        </w:rPr>
        <w:t>Refunctionalization:  standards for T vs. D</w:t>
      </w:r>
    </w:p>
    <w:p>
      <w:pPr>
        <w:pStyle w:val="Normal"/>
        <w:rPr>
          <w:sz w:val="24"/>
        </w:rPr>
      </w:pPr>
      <w:r>
        <w:rPr>
          <w:sz w:val="24"/>
        </w:rPr>
      </w:r>
    </w:p>
    <w:p>
      <w:pPr>
        <w:pStyle w:val="Normal"/>
        <w:ind w:hanging="1440" w:start="1440" w:end="0"/>
        <w:rPr/>
      </w:pPr>
      <w:r>
        <w:rPr>
          <w:i/>
          <w:sz w:val="24"/>
        </w:rPr>
        <w:t>Position</w:t>
      </w:r>
      <w:r>
        <w:rPr>
          <w:sz w:val="24"/>
        </w:rPr>
        <w:tab/>
        <w:t>(will discuss)</w:t>
      </w:r>
    </w:p>
    <w:p>
      <w:pPr>
        <w:pStyle w:val="Normal"/>
        <w:ind w:hanging="1440" w:start="1440" w:end="0"/>
        <w:rPr>
          <w:i/>
          <w:i/>
          <w:sz w:val="24"/>
        </w:rPr>
      </w:pPr>
      <w:r>
        <w:rPr>
          <w:i/>
          <w:sz w:val="24"/>
        </w:rPr>
      </w:r>
    </w:p>
    <w:p>
      <w:pPr>
        <w:pStyle w:val="Normal"/>
        <w:ind w:hanging="1440" w:start="1440" w:end="0"/>
        <w:rPr>
          <w:i/>
          <w:i/>
          <w:sz w:val="24"/>
        </w:rPr>
      </w:pPr>
      <w:r>
        <w:rPr>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tabs>
        <w:tab w:val="clear" w:pos="720"/>
        <w:tab w:val="left" w:pos="1422" w:leader="none"/>
      </w:tabs>
      <w:ind w:hanging="1440" w:start="1440" w:end="0"/>
      <w:outlineLvl w:val="1"/>
    </w:pPr>
    <w:rPr>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ind w:hanging="1440" w:start="144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1999-11-02T12:21:00Z</dcterms:created>
  <dc:creator>hkinger</dc:creator>
  <dc:description/>
  <dc:language>en-CA</dc:language>
  <cp:lastModifiedBy>hkinger</cp:lastModifiedBy>
  <dcterms:modified xsi:type="dcterms:W3CDTF">1999-11-05T20:40:00Z</dcterms:modified>
  <cp:revision>10</cp:revision>
  <dc:subject/>
  <dc:title>CALIFORNIA - PGE PHASE II RATE CASE AND GENERIC DISTRIBUTED GENERATION CASE</dc:title>
</cp:coreProperties>
</file>