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CALIFORNIA - PGE PHASE II RATE CASE AND GENERIC DISTRIBUTED GENERATION CASE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720" w:end="0"/>
        <w:rPr>
          <w:sz w:val="24"/>
        </w:rPr>
      </w:pPr>
      <w:r>
        <w:rPr>
          <w:sz w:val="24"/>
        </w:rPr>
        <w:t>Distribution Rate Design Issues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tabs>
          <w:tab w:val="clear" w:pos="720"/>
        </w:tabs>
        <w:rPr>
          <w:sz w:val="24"/>
        </w:rPr>
      </w:pPr>
      <w:r>
        <w:rPr>
          <w:sz w:val="24"/>
        </w:rPr>
        <w:t>Rate design for distribution delivery service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0" w:leader="none"/>
        </w:tabs>
        <w:ind w:hanging="360" w:start="1710" w:end="0"/>
        <w:rPr>
          <w:sz w:val="24"/>
        </w:rPr>
      </w:pPr>
      <w:r>
        <w:rPr>
          <w:sz w:val="24"/>
        </w:rPr>
        <w:t>Fixed vs. Volumetric: demand vs. energy vs. customer rates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0" w:leader="none"/>
        </w:tabs>
        <w:ind w:hanging="360" w:start="1710" w:end="0"/>
        <w:rPr>
          <w:sz w:val="24"/>
        </w:rPr>
      </w:pPr>
      <w:r>
        <w:rPr>
          <w:sz w:val="24"/>
        </w:rPr>
        <w:t>Time differentiated vs. Standard: on-peak vs. off-peak rates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0" w:leader="none"/>
        </w:tabs>
        <w:ind w:hanging="360" w:start="1710" w:end="0"/>
        <w:rPr>
          <w:sz w:val="24"/>
        </w:rPr>
      </w:pPr>
      <w:r>
        <w:rPr>
          <w:sz w:val="24"/>
        </w:rPr>
        <w:t xml:space="preserve">Seasonal vs. Standard: seasonal rates vs. uniform monthly rates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0" w:leader="none"/>
        </w:tabs>
        <w:ind w:hanging="360" w:start="1710" w:end="0"/>
        <w:rPr>
          <w:sz w:val="24"/>
        </w:rPr>
      </w:pPr>
      <w:r>
        <w:rPr>
          <w:sz w:val="24"/>
        </w:rPr>
        <w:t>Unit of measurement: kW vs. kVA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0" w:leader="none"/>
        </w:tabs>
        <w:ind w:hanging="360" w:start="1710" w:end="0"/>
        <w:rPr>
          <w:sz w:val="24"/>
        </w:rPr>
      </w:pPr>
      <w:r>
        <w:rPr>
          <w:sz w:val="24"/>
        </w:rPr>
        <w:t>Aggregation opportunity: localized vs. system wide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0" w:leader="none"/>
        </w:tabs>
        <w:ind w:hanging="360" w:start="1710" w:end="0"/>
        <w:rPr>
          <w:sz w:val="24"/>
        </w:rPr>
      </w:pPr>
      <w:r>
        <w:rPr>
          <w:sz w:val="24"/>
        </w:rPr>
        <w:t>Basis of determination: embedded costs vs. marginal costs reconciled to embedded revenue requirement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360" w:start="1080" w:end="0"/>
        <w:rPr>
          <w:sz w:val="24"/>
        </w:rPr>
      </w:pPr>
      <w:r>
        <w:rPr>
          <w:sz w:val="24"/>
        </w:rPr>
        <w:t>2)</w:t>
        <w:tab/>
        <w:t>Exit Fees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710" w:leader="none"/>
        </w:tabs>
        <w:ind w:hanging="360" w:start="1710" w:end="0"/>
        <w:rPr>
          <w:sz w:val="24"/>
        </w:rPr>
      </w:pPr>
      <w:r>
        <w:rPr>
          <w:sz w:val="24"/>
        </w:rPr>
        <w:t>Applicability with partial requirements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710" w:leader="none"/>
        </w:tabs>
        <w:ind w:hanging="360" w:start="1710" w:end="0"/>
        <w:rPr>
          <w:sz w:val="24"/>
        </w:rPr>
      </w:pPr>
      <w:r>
        <w:rPr>
          <w:sz w:val="24"/>
        </w:rPr>
        <w:t>Applicability with no requirements (complete disconnect)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710" w:leader="none"/>
        </w:tabs>
        <w:ind w:hanging="360" w:start="1710" w:end="0"/>
        <w:rPr>
          <w:sz w:val="24"/>
        </w:rPr>
      </w:pPr>
      <w:r>
        <w:rPr>
          <w:sz w:val="24"/>
        </w:rPr>
        <w:t>Existing vs. new load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Standby Charges</w:t>
      </w:r>
    </w:p>
    <w:p>
      <w:pPr>
        <w:pStyle w:val="Normal"/>
        <w:tabs>
          <w:tab w:val="clear" w:pos="720"/>
          <w:tab w:val="left" w:pos="108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710" w:leader="none"/>
        </w:tabs>
        <w:ind w:hanging="450" w:start="1800" w:end="0"/>
        <w:rPr>
          <w:sz w:val="24"/>
        </w:rPr>
      </w:pPr>
      <w:r>
        <w:rPr>
          <w:sz w:val="24"/>
        </w:rPr>
        <w:t>Method of Application:  Capacity-based vs. Usage-based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710" w:leader="none"/>
        </w:tabs>
        <w:ind w:hanging="450" w:start="1800" w:end="0"/>
        <w:rPr>
          <w:sz w:val="24"/>
        </w:rPr>
      </w:pPr>
      <w:r>
        <w:rPr>
          <w:sz w:val="24"/>
        </w:rPr>
        <w:t>Energy Charges:  standard vs. market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710" w:leader="none"/>
        </w:tabs>
        <w:ind w:hanging="450" w:start="1800" w:end="0"/>
        <w:rPr>
          <w:sz w:val="24"/>
        </w:rPr>
      </w:pPr>
      <w:r>
        <w:rPr>
          <w:sz w:val="24"/>
        </w:rPr>
        <w:t>Level of standby:  partial vs. full standby requirement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710" w:leader="none"/>
        </w:tabs>
        <w:ind w:hanging="450" w:start="1800" w:end="0"/>
        <w:rPr>
          <w:sz w:val="24"/>
        </w:rPr>
      </w:pPr>
      <w:r>
        <w:rPr>
          <w:sz w:val="24"/>
        </w:rPr>
        <w:t>Unbundling of Standby:  fully integrated vs. distribution (or transmission) only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Voltage and Location Differentiated Rates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710" w:leader="none"/>
        </w:tabs>
        <w:ind w:hanging="450" w:start="1800" w:end="0"/>
        <w:rPr>
          <w:sz w:val="24"/>
        </w:rPr>
      </w:pPr>
      <w:r>
        <w:rPr>
          <w:sz w:val="24"/>
        </w:rPr>
        <w:t>General:  secondary vs. primary vs. transmission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710" w:leader="none"/>
        </w:tabs>
        <w:ind w:hanging="450" w:start="1800" w:end="0"/>
        <w:rPr>
          <w:sz w:val="24"/>
        </w:rPr>
      </w:pPr>
      <w:r>
        <w:rPr>
          <w:sz w:val="24"/>
        </w:rPr>
        <w:t>Voltage specific:  138 kV vs. 69 kV vs. 34 kV vs. 13 kV, for example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710" w:leader="none"/>
        </w:tabs>
        <w:ind w:hanging="450" w:start="1800" w:end="0"/>
        <w:rPr>
          <w:sz w:val="24"/>
        </w:rPr>
      </w:pPr>
      <w:r>
        <w:rPr>
          <w:sz w:val="24"/>
        </w:rPr>
        <w:t>Customer group:  residential vs. non-residential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710" w:leader="none"/>
        </w:tabs>
        <w:ind w:hanging="450" w:start="1800" w:end="0"/>
        <w:rPr>
          <w:sz w:val="24"/>
        </w:rPr>
      </w:pPr>
      <w:r>
        <w:rPr>
          <w:sz w:val="24"/>
        </w:rPr>
        <w:t>Location:  network vs. urban vs. suburban vs. rural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4"/>
        </w:rPr>
      </w:pPr>
      <w:r>
        <w:rPr>
          <w:sz w:val="24"/>
        </w:rPr>
        <w:t>5)</w:t>
        <w:tab/>
        <w:t>Regulatory Oversight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710" w:leader="none"/>
        </w:tabs>
        <w:ind w:hanging="450" w:start="1800" w:end="0"/>
        <w:rPr>
          <w:sz w:val="24"/>
        </w:rPr>
      </w:pPr>
      <w:r>
        <w:rPr>
          <w:sz w:val="24"/>
        </w:rPr>
        <w:t>Revenue requirement:  Cost of service vs. PBR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710" w:leader="none"/>
        </w:tabs>
        <w:ind w:hanging="450" w:start="1800" w:end="0"/>
        <w:rPr>
          <w:sz w:val="24"/>
        </w:rPr>
      </w:pPr>
      <w:r>
        <w:rPr>
          <w:sz w:val="24"/>
        </w:rPr>
        <w:t>Reliability Measurement:  quantified standards vs. fix it when it’s broken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710" w:leader="none"/>
        </w:tabs>
        <w:ind w:hanging="450" w:start="1800" w:end="0"/>
        <w:rPr>
          <w:sz w:val="24"/>
        </w:rPr>
      </w:pPr>
      <w:r>
        <w:rPr>
          <w:sz w:val="24"/>
        </w:rPr>
        <w:t>Compensation for loss:  none vs. pre-defined payment vs. value of loss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710" w:leader="none"/>
        </w:tabs>
        <w:ind w:hanging="450" w:start="1800" w:end="0"/>
        <w:rPr>
          <w:sz w:val="24"/>
        </w:rPr>
      </w:pPr>
      <w:r>
        <w:rPr>
          <w:sz w:val="24"/>
        </w:rPr>
        <w:t>Refunctionalization:  standards for T vs. 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Forum Issues  (What to cover where)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1) DG Case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2) PGE Phase II Case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decimal"/>
      <w:lvlText w:val="%1)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1999-11-02T12:21:00Z</dcterms:created>
  <dc:creator>hkinger</dc:creator>
  <dc:description/>
  <dc:language>en-CA</dc:language>
  <cp:lastModifiedBy>hkinger</cp:lastModifiedBy>
  <dcterms:modified xsi:type="dcterms:W3CDTF">1999-11-02T14:08:00Z</dcterms:modified>
  <cp:revision>1</cp:revision>
  <dc:subject/>
  <dc:title>CALIFORNIA - PGE PHASE II RATE CASE AND GENERIC DISTRIBUTED GENERATION CASE</dc:title>
</cp:coreProperties>
</file>