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Overarching Themes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rPr/>
      </w:pPr>
      <w:r>
        <w:rPr/>
        <w:t>Deregulation has not failed – the market was never fully deregulated, and therefore not done properly.</w:t>
      </w:r>
    </w:p>
    <w:p>
      <w:pPr>
        <w:pStyle w:val="Normal"/>
        <w:numPr>
          <w:ilvl w:val="0"/>
          <w:numId w:val="2"/>
        </w:numPr>
        <w:rPr/>
      </w:pPr>
      <w:r>
        <w:rPr/>
        <w:t>This is an opportunity to get it right</w:t>
      </w:r>
    </w:p>
    <w:p>
      <w:pPr>
        <w:pStyle w:val="Normal"/>
        <w:numPr>
          <w:ilvl w:val="0"/>
          <w:numId w:val="2"/>
        </w:numPr>
        <w:rPr/>
      </w:pPr>
      <w:r>
        <w:rPr/>
        <w:t>Solutions, and not blame, should be the focus.  Here are some suggestions: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Increase supply</w:t>
      </w:r>
    </w:p>
    <w:p>
      <w:pPr>
        <w:pStyle w:val="Normal"/>
        <w:numPr>
          <w:ilvl w:val="1"/>
          <w:numId w:val="2"/>
        </w:numPr>
        <w:rPr/>
      </w:pPr>
      <w:r>
        <w:rPr/>
        <w:t>Reduce demand</w:t>
      </w:r>
    </w:p>
    <w:p>
      <w:pPr>
        <w:pStyle w:val="Normal"/>
        <w:numPr>
          <w:ilvl w:val="1"/>
          <w:numId w:val="2"/>
        </w:numPr>
        <w:rPr/>
      </w:pPr>
      <w:r>
        <w:rPr/>
        <w:t>Reduce volatility –i.e. have a balanced portfolio of contracts</w:t>
      </w:r>
    </w:p>
    <w:p>
      <w:pPr>
        <w:pStyle w:val="Normal"/>
        <w:numPr>
          <w:ilvl w:val="1"/>
          <w:numId w:val="2"/>
        </w:numPr>
        <w:rPr/>
      </w:pPr>
      <w:r>
        <w:rPr/>
        <w:t>Improve IOU financial positions so as to repay debt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ind w:start="144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3"/>
        <w:numPr>
          <w:ilvl w:val="0"/>
          <w:numId w:val="3"/>
        </w:numPr>
        <w:jc w:val="start"/>
        <w:rPr/>
      </w:pPr>
      <w:r>
        <w:rPr/>
        <w:t>Increase Supply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State Role</w:t>
      </w:r>
    </w:p>
    <w:p>
      <w:pPr>
        <w:pStyle w:val="Normal"/>
        <w:numPr>
          <w:ilvl w:val="2"/>
          <w:numId w:val="3"/>
        </w:numPr>
        <w:rPr/>
      </w:pPr>
      <w:r>
        <w:rPr/>
        <w:t>Reform siting laws</w:t>
      </w:r>
    </w:p>
    <w:p>
      <w:pPr>
        <w:pStyle w:val="Normal"/>
        <w:numPr>
          <w:ilvl w:val="2"/>
          <w:numId w:val="3"/>
        </w:numPr>
        <w:rPr/>
      </w:pPr>
      <w:r>
        <w:rPr/>
        <w:t>Reform California’s gas market  with open access and infrastructure</w:t>
      </w:r>
    </w:p>
    <w:p>
      <w:pPr>
        <w:pStyle w:val="Normal"/>
        <w:numPr>
          <w:ilvl w:val="2"/>
          <w:numId w:val="3"/>
        </w:numPr>
        <w:rPr/>
      </w:pPr>
      <w:r>
        <w:rPr/>
        <w:t>Create stable, attractive investment environment</w:t>
      </w:r>
    </w:p>
    <w:p>
      <w:pPr>
        <w:pStyle w:val="Normal"/>
        <w:numPr>
          <w:ilvl w:val="2"/>
          <w:numId w:val="3"/>
        </w:numPr>
        <w:rPr/>
      </w:pPr>
      <w:r>
        <w:rPr/>
        <w:t>Enhance DG</w:t>
      </w:r>
    </w:p>
    <w:p>
      <w:pPr>
        <w:pStyle w:val="Normal"/>
        <w:numPr>
          <w:ilvl w:val="3"/>
          <w:numId w:val="3"/>
        </w:numPr>
        <w:rPr/>
      </w:pPr>
      <w:r>
        <w:rPr/>
        <w:t>Eliminate stand-by rates</w:t>
      </w:r>
    </w:p>
    <w:p>
      <w:pPr>
        <w:pStyle w:val="Normal"/>
        <w:numPr>
          <w:ilvl w:val="3"/>
          <w:numId w:val="3"/>
        </w:numPr>
        <w:rPr/>
      </w:pPr>
      <w:r>
        <w:rPr/>
        <w:t>Get interconnection out of IOU control</w:t>
      </w:r>
    </w:p>
    <w:p>
      <w:pPr>
        <w:pStyle w:val="Normal"/>
        <w:numPr>
          <w:ilvl w:val="3"/>
          <w:numId w:val="3"/>
        </w:numPr>
        <w:rPr/>
      </w:pPr>
      <w:r>
        <w:rPr/>
        <w:t>Reduce permitting requirements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Federal Role</w:t>
      </w:r>
    </w:p>
    <w:p>
      <w:pPr>
        <w:pStyle w:val="Normal"/>
        <w:numPr>
          <w:ilvl w:val="2"/>
          <w:numId w:val="3"/>
        </w:numPr>
        <w:rPr/>
      </w:pPr>
      <w:r>
        <w:rPr/>
        <w:t>EPA assistance with emissions constraints</w:t>
      </w:r>
    </w:p>
    <w:p>
      <w:pPr>
        <w:pStyle w:val="Normal"/>
        <w:numPr>
          <w:ilvl w:val="2"/>
          <w:numId w:val="3"/>
        </w:numPr>
        <w:rPr/>
      </w:pPr>
      <w:r>
        <w:rPr/>
        <w:t>FERC must resist price controls</w:t>
      </w:r>
    </w:p>
    <w:p>
      <w:pPr>
        <w:pStyle w:val="Normal"/>
        <w:numPr>
          <w:ilvl w:val="2"/>
          <w:numId w:val="3"/>
        </w:numPr>
        <w:rPr/>
      </w:pPr>
      <w:r>
        <w:rPr/>
        <w:t>FERC must finish the job of open access</w:t>
      </w:r>
    </w:p>
    <w:p>
      <w:pPr>
        <w:pStyle w:val="Normal"/>
        <w:numPr>
          <w:ilvl w:val="2"/>
          <w:numId w:val="3"/>
        </w:numPr>
        <w:rPr/>
      </w:pPr>
      <w:r>
        <w:rPr/>
        <w:t>Federal Power Marketing Authorities (e.g. BPA) must join RTOs</w:t>
      </w:r>
    </w:p>
    <w:p>
      <w:pPr>
        <w:pStyle w:val="Normal"/>
        <w:numPr>
          <w:ilvl w:val="2"/>
          <w:numId w:val="3"/>
        </w:numPr>
        <w:rPr/>
      </w:pPr>
      <w:r>
        <w:rPr/>
        <w:t>Streamline Federal siting review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  <w:sz w:val="32"/>
        </w:rPr>
      </w:pPr>
      <w:r>
        <w:rPr>
          <w:b/>
          <w:bCs/>
          <w:sz w:val="32"/>
        </w:rPr>
        <w:t>Reduce Demand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State Role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Create financial incentives to reduce demand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Buy down demand (auction mechanism)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Send price signals – i.e. raise rates</w:t>
      </w:r>
      <w:r>
        <w:rPr>
          <w:b/>
          <w:bCs/>
        </w:rPr>
        <w:t xml:space="preserve">.   </w:t>
      </w:r>
      <w:r>
        <w:rPr/>
        <w:t>This should be phased in to reduce shock – 10% a year for 3 years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/>
        <w:t>Federal Role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 xml:space="preserve">Outsource energy efficiency services for </w:t>
      </w:r>
      <w:r>
        <w:rPr>
          <w:b/>
          <w:bCs/>
        </w:rPr>
        <w:t>all</w:t>
      </w:r>
      <w:r>
        <w:rPr/>
        <w:t xml:space="preserve"> federally funded facilities immediately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Redeploy military personnel out of CA for the summer ( offered as a constructive suggestion)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  <w:sz w:val="32"/>
        </w:rPr>
        <w:t>Balanced Portfolio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State Role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Let the market do it by creating real retail competition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Use state as temporary purchaser only until IOU’s credit gets restored to appropriate level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Outsource utility procurement function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Reform “reasonableness review” regulations governing IOU contracts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/>
        <w:t>Federal Role</w:t>
      </w:r>
    </w:p>
    <w:p>
      <w:pPr>
        <w:pStyle w:val="Normal"/>
        <w:numPr>
          <w:ilvl w:val="2"/>
          <w:numId w:val="3"/>
        </w:numPr>
        <w:rPr>
          <w:b/>
          <w:bCs/>
        </w:rPr>
      </w:pPr>
      <w:r>
        <w:rPr/>
        <w:t>Ensure competitive wholesale markets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980" w:end="0"/>
        <w:rPr/>
      </w:pPr>
      <w:r>
        <w:rPr/>
      </w:r>
    </w:p>
    <w:p>
      <w:pPr>
        <w:pStyle w:val="Normal"/>
        <w:ind w:start="2160" w:end="0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ind w:start="2160" w:end="0"/>
        <w:jc w:val="both"/>
        <w:rPr>
          <w:b/>
          <w:bCs/>
          <w:sz w:val="32"/>
        </w:rPr>
      </w:pPr>
      <w:r>
        <w:rPr>
          <w:b/>
          <w:bCs/>
          <w:sz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upperRoman"/>
      <w:lvlText w:val="%3."/>
      <w:lvlJc w:val="start"/>
      <w:pPr>
        <w:tabs>
          <w:tab w:val="num" w:pos="2880"/>
        </w:tabs>
        <w:ind w:start="2880" w:hanging="720"/>
      </w:pPr>
      <w:rPr/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65"/>
        </w:tabs>
        <w:ind w:start="765" w:hanging="405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080" w:end="0"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jc w:val="center"/>
      <w:outlineLvl w:val="2"/>
    </w:pPr>
    <w:rPr>
      <w:b/>
      <w:bCs/>
      <w:sz w:val="3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2">
    <w:name w:val="WW8Num7z2"/>
    <w:qFormat/>
    <w:rPr/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7z5">
    <w:name w:val="WW8Num7z5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2001-02-16T15:34:00Z</dcterms:created>
  <dc:creator>jneslag</dc:creator>
  <dc:description/>
  <dc:language>en-CA</dc:language>
  <cp:lastModifiedBy>jneslag</cp:lastModifiedBy>
  <dcterms:modified xsi:type="dcterms:W3CDTF">2001-02-16T15:34:00Z</dcterms:modified>
  <cp:revision>2</cp:revision>
  <dc:subject/>
  <dc:title>Overarching Themes</dc:title>
</cp:coreProperties>
</file>