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Q&amp;A for Media</w:t>
      </w:r>
    </w:p>
    <w:p>
      <w:pPr>
        <w:pStyle w:val="Normal"/>
        <w:rPr>
          <w:b/>
          <w:sz w:val="24"/>
        </w:rPr>
      </w:pPr>
      <w:r>
        <w:rPr>
          <w:b/>
          <w:sz w:val="24"/>
        </w:rPr>
      </w:r>
    </w:p>
    <w:p>
      <w:pPr>
        <w:pStyle w:val="Normal"/>
        <w:rPr>
          <w:b/>
          <w:sz w:val="24"/>
        </w:rPr>
      </w:pPr>
      <w:r>
        <w:rPr>
          <w:b/>
          <w:sz w:val="24"/>
        </w:rPr>
        <w:t>EES discontinues electricity service to California residential customers</w:t>
      </w:r>
    </w:p>
    <w:p>
      <w:pPr>
        <w:pStyle w:val="Normal"/>
        <w:rPr>
          <w:b/>
          <w:sz w:val="24"/>
        </w:rPr>
      </w:pPr>
      <w:r>
        <w:rPr>
          <w:b/>
          <w:sz w:val="24"/>
        </w:rPr>
      </w:r>
    </w:p>
    <w:p>
      <w:pPr>
        <w:pStyle w:val="Normal"/>
        <w:rPr>
          <w:b/>
          <w:sz w:val="24"/>
        </w:rPr>
      </w:pPr>
      <w:r>
        <w:rPr>
          <w:b/>
          <w:sz w:val="24"/>
        </w:rPr>
        <w:t>Background:</w:t>
      </w:r>
    </w:p>
    <w:p>
      <w:pPr>
        <w:pStyle w:val="Normal"/>
        <w:rPr>
          <w:b/>
          <w:sz w:val="24"/>
        </w:rPr>
      </w:pPr>
      <w:r>
        <w:rPr>
          <w:b/>
          <w:sz w:val="24"/>
        </w:rPr>
        <w:t xml:space="preserve">In April 1998, Enron announced that it could no longer provide value to the residential market and would instead focus exclusively on the commercial and industrial market throughout the U.S. and Europe.  Before that announcement, the company had signed residential electricity contracts, approximately 16,000 of which we continued to provide electricity to throughout California.  As part of the agreement, these customers received two weeks of free electricity.  In the contracts, we agreed to provide our residential customers with a specified price through December 1999. After that time, the contracts became cancellable by either party at any time.  </w:t>
      </w:r>
    </w:p>
    <w:p>
      <w:pPr>
        <w:pStyle w:val="Normal"/>
        <w:rPr>
          <w:b/>
          <w:sz w:val="24"/>
        </w:rPr>
      </w:pPr>
      <w:r>
        <w:rPr>
          <w:b/>
          <w:sz w:val="24"/>
        </w:rPr>
      </w:r>
    </w:p>
    <w:p>
      <w:pPr>
        <w:pStyle w:val="Normal"/>
        <w:rPr>
          <w:b/>
          <w:sz w:val="24"/>
        </w:rPr>
      </w:pPr>
      <w:r>
        <w:rPr>
          <w:b/>
          <w:sz w:val="24"/>
        </w:rPr>
        <w:t xml:space="preserve">On May 25, 2001, due to the continued uncertainty in the California electricity market and the lack of clarity on the future of direct access, EES sent its California customers a letter discontinuing Enron’s electric service. These customers will now be served by the utility.  There will be no service interruption and they will return to the regulated rate structure of the utility.  EES will facilitate the transfer of service back to the utility. </w:t>
      </w:r>
    </w:p>
    <w:p>
      <w:pPr>
        <w:pStyle w:val="Normal"/>
        <w:rPr>
          <w:b/>
          <w:sz w:val="24"/>
        </w:rPr>
      </w:pPr>
      <w:r>
        <w:rPr>
          <w:b/>
          <w:sz w:val="24"/>
        </w:rPr>
      </w:r>
    </w:p>
    <w:p>
      <w:pPr>
        <w:pStyle w:val="BodyText2"/>
        <w:rPr/>
      </w:pPr>
      <w:r>
        <w:rPr/>
        <w:t>Customer breakdown:</w:t>
      </w:r>
    </w:p>
    <w:p>
      <w:pPr>
        <w:pStyle w:val="Normal"/>
        <w:rPr>
          <w:b/>
          <w:sz w:val="24"/>
        </w:rPr>
      </w:pPr>
      <w:r>
        <w:rPr>
          <w:b/>
          <w:sz w:val="24"/>
        </w:rPr>
        <w:t xml:space="preserve">Pacific Gas &amp; Electric (PG&amp;E):  </w:t>
        <w:tab/>
        <w:tab/>
        <w:t>7,792</w:t>
      </w:r>
    </w:p>
    <w:p>
      <w:pPr>
        <w:pStyle w:val="Normal"/>
        <w:rPr>
          <w:b/>
          <w:sz w:val="24"/>
        </w:rPr>
      </w:pPr>
      <w:r>
        <w:rPr>
          <w:b/>
          <w:sz w:val="24"/>
        </w:rPr>
        <w:t xml:space="preserve">Southern California Edison (SCE):  </w:t>
        <w:tab/>
        <w:t>5,667</w:t>
      </w:r>
    </w:p>
    <w:p>
      <w:pPr>
        <w:pStyle w:val="Normal"/>
        <w:rPr>
          <w:b/>
          <w:sz w:val="24"/>
        </w:rPr>
      </w:pPr>
      <w:r>
        <w:rPr>
          <w:b/>
          <w:sz w:val="24"/>
        </w:rPr>
        <w:t xml:space="preserve">San Diego Gas &amp; Electric: (SDG&amp;E): </w:t>
        <w:tab/>
        <w:t>2,260</w:t>
      </w:r>
    </w:p>
    <w:p>
      <w:pPr>
        <w:pStyle w:val="Normal"/>
        <w:rPr>
          <w:b/>
          <w:sz w:val="24"/>
        </w:rPr>
      </w:pPr>
      <w:r>
        <w:rPr>
          <w:b/>
          <w:sz w:val="24"/>
        </w:rPr>
        <w:tab/>
        <w:tab/>
        <w:tab/>
        <w:tab/>
        <w:t xml:space="preserve">      Total:      15,729</w:t>
      </w:r>
    </w:p>
    <w:p>
      <w:pPr>
        <w:pStyle w:val="Normal"/>
        <w:rPr>
          <w:b/>
          <w:sz w:val="24"/>
        </w:rPr>
      </w:pPr>
      <w:r>
        <w:rPr>
          <w:b/>
          <w:sz w:val="24"/>
        </w:rPr>
      </w:r>
    </w:p>
    <w:p>
      <w:pPr>
        <w:pStyle w:val="Normal"/>
        <w:rPr>
          <w:b/>
          <w:sz w:val="24"/>
        </w:rPr>
      </w:pPr>
      <w:r>
        <w:rPr>
          <w:b/>
          <w:sz w:val="24"/>
        </w:rPr>
        <w:t>California Residential Customer Q&amp;A</w:t>
      </w:r>
    </w:p>
    <w:p>
      <w:pPr>
        <w:pStyle w:val="Normal"/>
        <w:rPr>
          <w:b/>
          <w:sz w:val="24"/>
        </w:rPr>
      </w:pPr>
      <w:r>
        <w:rPr>
          <w:b/>
          <w:sz w:val="24"/>
        </w:rPr>
      </w:r>
    </w:p>
    <w:p>
      <w:pPr>
        <w:pStyle w:val="Normal"/>
        <w:numPr>
          <w:ilvl w:val="0"/>
          <w:numId w:val="2"/>
        </w:numPr>
        <w:rPr>
          <w:b/>
          <w:sz w:val="24"/>
        </w:rPr>
      </w:pPr>
      <w:r>
        <w:rPr>
          <w:b/>
          <w:sz w:val="24"/>
        </w:rPr>
        <w:t xml:space="preserve">What are your former customers new rates going to be?  </w:t>
      </w:r>
    </w:p>
    <w:p>
      <w:pPr>
        <w:pStyle w:val="Normal"/>
        <w:rPr>
          <w:b/>
          <w:sz w:val="24"/>
        </w:rPr>
      </w:pPr>
      <w:r>
        <w:rPr>
          <w:b/>
          <w:sz w:val="24"/>
        </w:rPr>
      </w:r>
    </w:p>
    <w:p>
      <w:pPr>
        <w:pStyle w:val="Normal"/>
        <w:rPr>
          <w:sz w:val="24"/>
        </w:rPr>
      </w:pPr>
      <w:r>
        <w:rPr>
          <w:sz w:val="24"/>
        </w:rPr>
        <w:t xml:space="preserve">Their new rates are based on a regulated rate structure determined by your utility.  Our former customers will receive information about their new rates by visiting the website of their utility.  </w:t>
      </w:r>
    </w:p>
    <w:p>
      <w:pPr>
        <w:pStyle w:val="Normal"/>
        <w:rPr>
          <w:sz w:val="24"/>
        </w:rPr>
      </w:pPr>
      <w:r>
        <w:rPr>
          <w:sz w:val="24"/>
        </w:rPr>
      </w:r>
    </w:p>
    <w:p>
      <w:pPr>
        <w:pStyle w:val="Normal"/>
        <w:rPr>
          <w:sz w:val="24"/>
        </w:rPr>
      </w:pPr>
      <w:r>
        <w:rPr>
          <w:sz w:val="24"/>
        </w:rPr>
        <w:t xml:space="preserve">Southern California Edison: </w:t>
      </w:r>
      <w:hyperlink r:id="rId2">
        <w:r>
          <w:rPr>
            <w:rStyle w:val="Hyperlink"/>
          </w:rPr>
          <w:t>www.sce.com</w:t>
        </w:r>
      </w:hyperlink>
    </w:p>
    <w:p>
      <w:pPr>
        <w:pStyle w:val="Normal"/>
        <w:rPr>
          <w:sz w:val="24"/>
        </w:rPr>
      </w:pPr>
      <w:r>
        <w:rPr>
          <w:sz w:val="24"/>
        </w:rPr>
        <w:t xml:space="preserve">Pacific Gas &amp; Electric: </w:t>
      </w:r>
      <w:hyperlink r:id="rId3">
        <w:r>
          <w:rPr>
            <w:rStyle w:val="Hyperlink"/>
          </w:rPr>
          <w:t>www.pge.com</w:t>
        </w:r>
      </w:hyperlink>
    </w:p>
    <w:p>
      <w:pPr>
        <w:pStyle w:val="Normal"/>
        <w:rPr>
          <w:sz w:val="24"/>
        </w:rPr>
      </w:pPr>
      <w:r>
        <w:rPr>
          <w:sz w:val="24"/>
        </w:rPr>
        <w:t xml:space="preserve">San Diego Gas &amp; Electric: </w:t>
      </w:r>
      <w:hyperlink r:id="rId4">
        <w:r>
          <w:rPr>
            <w:rStyle w:val="Hyperlink"/>
          </w:rPr>
          <w:t>www.sdge.com</w:t>
        </w:r>
      </w:hyperlink>
    </w:p>
    <w:p>
      <w:pPr>
        <w:pStyle w:val="Normal"/>
        <w:rPr>
          <w:sz w:val="24"/>
        </w:rPr>
      </w:pPr>
      <w:r>
        <w:rPr>
          <w:sz w:val="24"/>
        </w:rPr>
      </w:r>
    </w:p>
    <w:p>
      <w:pPr>
        <w:pStyle w:val="Normal"/>
        <w:rPr>
          <w:sz w:val="24"/>
        </w:rPr>
      </w:pPr>
      <w:r>
        <w:rPr>
          <w:sz w:val="24"/>
        </w:rPr>
        <w:t>Also, their utility should send that information to them through the mail.</w:t>
      </w:r>
    </w:p>
    <w:p>
      <w:pPr>
        <w:pStyle w:val="Normal"/>
        <w:rPr>
          <w:sz w:val="24"/>
        </w:rPr>
      </w:pPr>
      <w:r>
        <w:rPr>
          <w:sz w:val="24"/>
        </w:rPr>
        <w:t>If they haven’t yet received that information, they should call them at:</w:t>
      </w:r>
    </w:p>
    <w:p>
      <w:pPr>
        <w:pStyle w:val="Normal"/>
        <w:rPr>
          <w:sz w:val="24"/>
        </w:rPr>
      </w:pPr>
      <w:r>
        <w:rPr>
          <w:sz w:val="24"/>
        </w:rPr>
      </w:r>
    </w:p>
    <w:p>
      <w:pPr>
        <w:pStyle w:val="Normal"/>
        <w:rPr>
          <w:sz w:val="24"/>
        </w:rPr>
      </w:pPr>
      <w:r>
        <w:rPr>
          <w:sz w:val="24"/>
        </w:rPr>
        <w:t>Southern California Edison:</w:t>
      </w:r>
    </w:p>
    <w:p>
      <w:pPr>
        <w:pStyle w:val="Normal"/>
        <w:rPr>
          <w:sz w:val="24"/>
        </w:rPr>
      </w:pPr>
      <w:r>
        <w:rPr>
          <w:sz w:val="24"/>
        </w:rPr>
        <w:t xml:space="preserve">Pacific Gas &amp; Electric: </w:t>
      </w:r>
    </w:p>
    <w:p>
      <w:pPr>
        <w:pStyle w:val="Normal"/>
        <w:rPr>
          <w:sz w:val="24"/>
        </w:rPr>
      </w:pPr>
      <w:r>
        <w:rPr>
          <w:sz w:val="24"/>
        </w:rPr>
        <w:t>San Diego Gas &amp; Electric:</w:t>
      </w:r>
    </w:p>
    <w:p>
      <w:pPr>
        <w:pStyle w:val="Normal"/>
        <w:rPr>
          <w:b/>
          <w:sz w:val="24"/>
        </w:rPr>
      </w:pPr>
      <w:r>
        <w:rPr>
          <w:b/>
          <w:sz w:val="24"/>
        </w:rPr>
      </w:r>
    </w:p>
    <w:p>
      <w:pPr>
        <w:pStyle w:val="Normal"/>
        <w:numPr>
          <w:ilvl w:val="0"/>
          <w:numId w:val="2"/>
        </w:numPr>
        <w:rPr>
          <w:b/>
          <w:sz w:val="24"/>
        </w:rPr>
      </w:pPr>
      <w:r>
        <w:rPr>
          <w:b/>
          <w:sz w:val="24"/>
        </w:rPr>
        <w:t xml:space="preserve">How much will their rates increase?  </w:t>
      </w:r>
    </w:p>
    <w:p>
      <w:pPr>
        <w:pStyle w:val="Normal"/>
        <w:rPr>
          <w:b/>
          <w:sz w:val="24"/>
        </w:rPr>
      </w:pPr>
      <w:r>
        <w:rPr>
          <w:b/>
          <w:sz w:val="24"/>
        </w:rPr>
      </w:r>
    </w:p>
    <w:p>
      <w:pPr>
        <w:pStyle w:val="Normal"/>
        <w:rPr>
          <w:sz w:val="24"/>
        </w:rPr>
      </w:pPr>
      <w:r>
        <w:rPr>
          <w:sz w:val="24"/>
        </w:rPr>
        <w:t xml:space="preserve">Only their utility can provide exact billing information. The new electricity rates in California are structured to encourage energy conservation and are based on their consumption. </w:t>
      </w:r>
    </w:p>
    <w:p>
      <w:pPr>
        <w:pStyle w:val="Normal"/>
        <w:rPr>
          <w:sz w:val="24"/>
        </w:rPr>
      </w:pPr>
      <w:r>
        <w:rPr>
          <w:sz w:val="24"/>
        </w:rPr>
      </w:r>
    </w:p>
    <w:p>
      <w:pPr>
        <w:pStyle w:val="BodyText2"/>
        <w:numPr>
          <w:ilvl w:val="0"/>
          <w:numId w:val="2"/>
        </w:numPr>
        <w:rPr/>
      </w:pPr>
      <w:r>
        <w:rPr/>
        <w:t>When did their contract become month to month?</w:t>
      </w:r>
    </w:p>
    <w:p>
      <w:pPr>
        <w:pStyle w:val="Normal"/>
        <w:rPr>
          <w:sz w:val="24"/>
        </w:rPr>
      </w:pPr>
      <w:r>
        <w:rPr>
          <w:sz w:val="24"/>
        </w:rPr>
      </w:r>
    </w:p>
    <w:p>
      <w:pPr>
        <w:pStyle w:val="BodyText3"/>
        <w:rPr/>
      </w:pPr>
      <w:r>
        <w:rPr/>
        <w:t xml:space="preserve">In our contract, we agreed to provide our customers with a specified price through December 1999 (section 8). We have done so and are now exercising our right under section 6 to cancel the agreement. </w:t>
      </w:r>
    </w:p>
    <w:p>
      <w:pPr>
        <w:pStyle w:val="Normal"/>
        <w:rPr>
          <w:sz w:val="24"/>
        </w:rPr>
      </w:pPr>
      <w:r>
        <w:rPr>
          <w:sz w:val="24"/>
        </w:rPr>
      </w:r>
    </w:p>
    <w:p>
      <w:pPr>
        <w:pStyle w:val="BodyText2"/>
        <w:numPr>
          <w:ilvl w:val="0"/>
          <w:numId w:val="2"/>
        </w:numPr>
        <w:rPr/>
      </w:pPr>
      <w:r>
        <w:rPr/>
        <w:t>Is there anything your former customers can do to lower your rates?</w:t>
      </w:r>
    </w:p>
    <w:p>
      <w:pPr>
        <w:pStyle w:val="Normal"/>
        <w:rPr>
          <w:sz w:val="24"/>
        </w:rPr>
      </w:pPr>
      <w:r>
        <w:rPr>
          <w:sz w:val="24"/>
        </w:rPr>
      </w:r>
    </w:p>
    <w:p>
      <w:pPr>
        <w:pStyle w:val="Normal"/>
        <w:rPr>
          <w:color w:val="000000"/>
          <w:sz w:val="24"/>
          <w:lang w:eastAsia="en-US"/>
        </w:rPr>
      </w:pPr>
      <w:r>
        <w:rPr>
          <w:sz w:val="24"/>
        </w:rPr>
        <w:t xml:space="preserve">There are a number of things they can do to conserve energy and, therefore, lower their utility bill.  The U.S. Department of Energy offers numerous energy-saving tips.  They can access these at their website: </w:t>
      </w:r>
      <w:hyperlink r:id="rId5">
        <w:r>
          <w:rPr>
            <w:rStyle w:val="Hyperlink"/>
            <w:sz w:val="24"/>
          </w:rPr>
          <w:t>www.eren.doe.gov/consumerinfo/energy_savers/index.html</w:t>
        </w:r>
      </w:hyperlink>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Or they can request their list of energy-saving tips by writing the Dept. of Energy at :</w:t>
      </w:r>
    </w:p>
    <w:p>
      <w:pPr>
        <w:pStyle w:val="Heading1"/>
        <w:ind w:hanging="0" w:start="0"/>
        <w:rPr/>
      </w:pPr>
      <w:r>
        <w:rPr/>
        <w:t>U.S. Department of Energy’s Efficiency and Renewable Energy Clearinghouse</w:t>
      </w:r>
    </w:p>
    <w:p>
      <w:pPr>
        <w:pStyle w:val="Normal"/>
        <w:rPr>
          <w:color w:val="000000"/>
          <w:sz w:val="24"/>
          <w:lang w:eastAsia="en-US"/>
        </w:rPr>
      </w:pPr>
      <w:r>
        <w:rPr>
          <w:color w:val="000000"/>
          <w:sz w:val="24"/>
          <w:lang w:eastAsia="en-US"/>
        </w:rPr>
        <w:t>P.O. Box 3048</w:t>
      </w:r>
    </w:p>
    <w:p>
      <w:pPr>
        <w:pStyle w:val="Normal"/>
        <w:rPr>
          <w:color w:val="000000"/>
          <w:sz w:val="24"/>
          <w:lang w:eastAsia="en-US"/>
        </w:rPr>
      </w:pPr>
      <w:r>
        <w:rPr>
          <w:color w:val="000000"/>
          <w:sz w:val="24"/>
          <w:lang w:eastAsia="en-US"/>
        </w:rPr>
        <w:t>Merrifield, VA  22116</w:t>
      </w:r>
    </w:p>
    <w:p>
      <w:pPr>
        <w:pStyle w:val="Normal"/>
        <w:rPr>
          <w:color w:val="000000"/>
          <w:sz w:val="24"/>
          <w:lang w:eastAsia="en-US"/>
        </w:rPr>
      </w:pPr>
      <w:r>
        <w:rPr>
          <w:color w:val="000000"/>
          <w:sz w:val="24"/>
          <w:lang w:eastAsia="en-US"/>
        </w:rPr>
      </w:r>
    </w:p>
    <w:p>
      <w:pPr>
        <w:pStyle w:val="BodyText"/>
        <w:numPr>
          <w:ilvl w:val="0"/>
          <w:numId w:val="2"/>
        </w:numPr>
        <w:rPr/>
      </w:pPr>
      <w:r>
        <w:rPr/>
        <w:t>Are you 100 percent sure that there will be no interruption in your customer’s electricity service?</w:t>
      </w:r>
    </w:p>
    <w:p>
      <w:pPr>
        <w:pStyle w:val="Normal"/>
        <w:rPr>
          <w:color w:val="000000"/>
          <w:sz w:val="24"/>
          <w:lang w:eastAsia="en-US"/>
        </w:rPr>
      </w:pPr>
      <w:r>
        <w:rPr>
          <w:color w:val="000000"/>
          <w:sz w:val="24"/>
          <w:lang w:eastAsia="en-US"/>
        </w:rPr>
      </w:r>
    </w:p>
    <w:p>
      <w:pPr>
        <w:pStyle w:val="Normal"/>
        <w:rPr>
          <w:sz w:val="24"/>
          <w:lang w:eastAsia="en-US"/>
        </w:rPr>
      </w:pPr>
      <w:r>
        <w:rPr>
          <w:color w:val="000000"/>
          <w:sz w:val="24"/>
          <w:lang w:eastAsia="en-US"/>
        </w:rPr>
        <w:t xml:space="preserve">Yes, there will absolutely be no interruption of their power as we facilitate the transfer of their electricity service to their utility. </w:t>
      </w:r>
    </w:p>
    <w:p>
      <w:pPr>
        <w:pStyle w:val="Normal"/>
        <w:rPr>
          <w:color w:val="000000"/>
          <w:sz w:val="24"/>
          <w:lang w:eastAsia="en-US"/>
        </w:rPr>
      </w:pPr>
      <w:r>
        <w:rPr>
          <w:color w:val="000000"/>
          <w:sz w:val="24"/>
          <w:lang w:eastAsia="en-US"/>
        </w:rPr>
      </w:r>
    </w:p>
    <w:p>
      <w:pPr>
        <w:pStyle w:val="BodyText"/>
        <w:numPr>
          <w:ilvl w:val="0"/>
          <w:numId w:val="2"/>
        </w:numPr>
        <w:rPr/>
      </w:pPr>
      <w:r>
        <w:rPr/>
        <w:t>Do the utilities know that you are canceling your customers’ electricity service and transferring it to the local utility?</w:t>
      </w:r>
    </w:p>
    <w:p>
      <w:pPr>
        <w:pStyle w:val="Normal"/>
        <w:rPr>
          <w:color w:val="000000"/>
          <w:sz w:val="24"/>
          <w:lang w:eastAsia="en-US"/>
        </w:rPr>
      </w:pPr>
      <w:r>
        <w:rPr>
          <w:color w:val="000000"/>
          <w:sz w:val="24"/>
          <w:lang w:eastAsia="en-US"/>
        </w:rPr>
      </w:r>
    </w:p>
    <w:p>
      <w:pPr>
        <w:pStyle w:val="Normal"/>
        <w:rPr>
          <w:sz w:val="24"/>
        </w:rPr>
      </w:pPr>
      <w:r>
        <w:rPr>
          <w:color w:val="000000"/>
          <w:sz w:val="24"/>
          <w:lang w:eastAsia="en-US"/>
        </w:rPr>
        <w:t xml:space="preserve">Yes, we have already contacted them and are facilitating the transfer of our customers’ electricity service to them without any disruption.  </w:t>
      </w:r>
    </w:p>
    <w:p>
      <w:pPr>
        <w:pStyle w:val="Normal"/>
        <w:rPr>
          <w:sz w:val="24"/>
        </w:rPr>
      </w:pPr>
      <w:r>
        <w:rPr>
          <w:sz w:val="24"/>
        </w:rPr>
      </w:r>
    </w:p>
    <w:p>
      <w:pPr>
        <w:pStyle w:val="Normal"/>
        <w:numPr>
          <w:ilvl w:val="0"/>
          <w:numId w:val="2"/>
        </w:numPr>
        <w:rPr>
          <w:b/>
          <w:sz w:val="24"/>
        </w:rPr>
      </w:pPr>
      <w:r>
        <w:rPr>
          <w:b/>
          <w:sz w:val="24"/>
        </w:rPr>
        <w:t>When do they receive their first bill from the utility?</w:t>
      </w:r>
    </w:p>
    <w:p>
      <w:pPr>
        <w:pStyle w:val="Normal"/>
        <w:rPr>
          <w:b/>
          <w:sz w:val="24"/>
        </w:rPr>
      </w:pPr>
      <w:r>
        <w:rPr>
          <w:b/>
          <w:sz w:val="24"/>
        </w:rPr>
      </w:r>
    </w:p>
    <w:p>
      <w:pPr>
        <w:pStyle w:val="Normal"/>
        <w:rPr>
          <w:sz w:val="24"/>
        </w:rPr>
      </w:pPr>
      <w:r>
        <w:rPr>
          <w:sz w:val="24"/>
        </w:rPr>
        <w:t>Approximately 30 days after their service begins with the utility.</w:t>
      </w:r>
    </w:p>
    <w:p>
      <w:pPr>
        <w:pStyle w:val="Normal"/>
        <w:rPr>
          <w:sz w:val="24"/>
        </w:rPr>
      </w:pPr>
      <w:r>
        <w:rPr>
          <w:sz w:val="24"/>
        </w:rPr>
      </w:r>
    </w:p>
    <w:p>
      <w:pPr>
        <w:pStyle w:val="Normal"/>
        <w:numPr>
          <w:ilvl w:val="0"/>
          <w:numId w:val="2"/>
        </w:numPr>
        <w:rPr>
          <w:b/>
          <w:sz w:val="24"/>
        </w:rPr>
      </w:pPr>
      <w:r>
        <w:rPr>
          <w:b/>
          <w:sz w:val="24"/>
        </w:rPr>
        <w:t>Will they receive a final bill from Enron?</w:t>
      </w:r>
    </w:p>
    <w:p>
      <w:pPr>
        <w:pStyle w:val="Normal"/>
        <w:rPr>
          <w:b/>
          <w:sz w:val="24"/>
        </w:rPr>
      </w:pPr>
      <w:r>
        <w:rPr>
          <w:b/>
          <w:sz w:val="24"/>
        </w:rPr>
      </w:r>
    </w:p>
    <w:p>
      <w:pPr>
        <w:pStyle w:val="Normal"/>
        <w:rPr>
          <w:sz w:val="24"/>
        </w:rPr>
      </w:pPr>
      <w:r>
        <w:rPr>
          <w:sz w:val="24"/>
        </w:rPr>
        <w:t>Yes, they will receive the final bill in the next 30 days.</w:t>
      </w:r>
    </w:p>
    <w:p>
      <w:pPr>
        <w:pStyle w:val="Normal"/>
        <w:rPr>
          <w:b/>
          <w:sz w:val="24"/>
        </w:rPr>
      </w:pPr>
      <w:r>
        <w:rPr>
          <w:b/>
          <w:sz w:val="24"/>
        </w:rPr>
      </w:r>
    </w:p>
    <w:p>
      <w:pPr>
        <w:pStyle w:val="Normal"/>
        <w:numPr>
          <w:ilvl w:val="0"/>
          <w:numId w:val="2"/>
        </w:numPr>
        <w:rPr>
          <w:b/>
          <w:sz w:val="24"/>
        </w:rPr>
      </w:pPr>
      <w:r>
        <w:rPr>
          <w:b/>
          <w:sz w:val="24"/>
        </w:rPr>
        <w:t>Now that you are also canceling residential contracts, does this mean you are leaving the California market?</w:t>
      </w:r>
    </w:p>
    <w:p>
      <w:pPr>
        <w:pStyle w:val="Normal"/>
        <w:rPr>
          <w:b/>
          <w:sz w:val="24"/>
        </w:rPr>
      </w:pPr>
      <w:r>
        <w:rPr>
          <w:b/>
          <w:sz w:val="24"/>
        </w:rPr>
      </w:r>
    </w:p>
    <w:p>
      <w:pPr>
        <w:pStyle w:val="BodyText3"/>
        <w:rPr/>
      </w:pPr>
      <w:r>
        <w:rPr/>
        <w:t xml:space="preserve">We are not leaving the California market.  We are working with the state to develop solutions that will help advance true competition that will benefit all California consumers.  </w:t>
      </w:r>
    </w:p>
    <w:p>
      <w:pPr>
        <w:pStyle w:val="BodyText3"/>
        <w:rPr/>
      </w:pPr>
      <w:r>
        <w:rPr/>
      </w:r>
    </w:p>
    <w:p>
      <w:pPr>
        <w:pStyle w:val="BodyText3"/>
        <w:rPr/>
      </w:pPr>
      <w:r>
        <w:rPr/>
        <w:t>We continue to provide energy management services to many California businesses.  In February 2001, when Enron resourced its customer’s energy supplies, we did not end our customer contracts.  We continue to honor financial and other contractual obligations to our customers as the utilities are supplying electricity and sending the invoices to EES.  There were a number of factors that influenced our decision, including the failure of the utilities to pay the generation credit owed to all direct access companies.</w:t>
      </w:r>
    </w:p>
    <w:p>
      <w:pPr>
        <w:pStyle w:val="BodyText3"/>
        <w:rPr/>
      </w:pPr>
      <w:r>
        <w:rPr/>
      </w:r>
    </w:p>
    <w:p>
      <w:pPr>
        <w:pStyle w:val="BodyText2"/>
        <w:numPr>
          <w:ilvl w:val="0"/>
          <w:numId w:val="2"/>
        </w:numPr>
        <w:rPr/>
      </w:pPr>
      <w:r>
        <w:rPr/>
        <w:t>Why are you discontinuing service for your residential customers, but not for your commercial and industrial customers?</w:t>
      </w:r>
    </w:p>
    <w:p>
      <w:pPr>
        <w:pStyle w:val="Normal"/>
        <w:rPr>
          <w:sz w:val="24"/>
        </w:rPr>
      </w:pPr>
      <w:r>
        <w:rPr>
          <w:sz w:val="24"/>
        </w:rPr>
      </w:r>
    </w:p>
    <w:p>
      <w:pPr>
        <w:pStyle w:val="Normal"/>
        <w:rPr/>
      </w:pPr>
      <w:r>
        <w:rPr>
          <w:sz w:val="24"/>
        </w:rPr>
        <w:t>As was widely reported in 1998, Enron announced that it could no longer provide value to the residential market and would instead focus exclusively on the commercial and industrial market throughout the U.S. and Europe.</w:t>
      </w:r>
      <w:r>
        <w:rPr>
          <w:b/>
          <w:sz w:val="24"/>
        </w:rPr>
        <w:t xml:space="preserve"> </w:t>
      </w:r>
    </w:p>
    <w:p>
      <w:pPr>
        <w:pStyle w:val="Normal"/>
        <w:rPr>
          <w:b/>
          <w:sz w:val="24"/>
        </w:rPr>
      </w:pPr>
      <w:r>
        <w:rPr>
          <w:b/>
          <w:sz w:val="24"/>
        </w:rPr>
      </w:r>
    </w:p>
    <w:p>
      <w:pPr>
        <w:pStyle w:val="BodyText2"/>
        <w:numPr>
          <w:ilvl w:val="0"/>
          <w:numId w:val="2"/>
        </w:numPr>
        <w:rPr/>
      </w:pPr>
      <w:r>
        <w:rPr/>
        <w:t>Are you releasing your residential customers so you can sell the electricity that you provided to them on the wholesale spot market?</w:t>
      </w:r>
    </w:p>
    <w:p>
      <w:pPr>
        <w:pStyle w:val="Normal"/>
        <w:rPr>
          <w:sz w:val="24"/>
        </w:rPr>
      </w:pPr>
      <w:r>
        <w:rPr>
          <w:sz w:val="24"/>
        </w:rPr>
      </w:r>
    </w:p>
    <w:p>
      <w:pPr>
        <w:pStyle w:val="Normal"/>
        <w:rPr>
          <w:sz w:val="24"/>
        </w:rPr>
      </w:pPr>
      <w:r>
        <w:rPr>
          <w:sz w:val="24"/>
        </w:rPr>
        <w:t>No.  We have been buying power on a short term basis and are not releasing any supplies.  We made the decision today due to the continued uncertainty in the California electricity market, as well as lack of clarity on direct access.</w:t>
      </w:r>
    </w:p>
    <w:p>
      <w:pPr>
        <w:pStyle w:val="Normal"/>
        <w:rPr>
          <w:sz w:val="24"/>
        </w:rPr>
      </w:pPr>
      <w:r>
        <w:rPr>
          <w:sz w:val="24"/>
        </w:rPr>
      </w:r>
    </w:p>
    <w:p>
      <w:pPr>
        <w:pStyle w:val="BodyText3"/>
        <w:numPr>
          <w:ilvl w:val="0"/>
          <w:numId w:val="2"/>
        </w:numPr>
        <w:rPr>
          <w:b/>
        </w:rPr>
      </w:pPr>
      <w:r>
        <w:rPr>
          <w:b/>
        </w:rPr>
        <w:t xml:space="preserve">Why did UC/CSU file a lawsuit?  </w:t>
      </w:r>
    </w:p>
    <w:p>
      <w:pPr>
        <w:pStyle w:val="BodyText3"/>
        <w:rPr>
          <w:b/>
        </w:rPr>
      </w:pPr>
      <w:r>
        <w:rPr>
          <w:b/>
        </w:rPr>
      </w:r>
    </w:p>
    <w:p>
      <w:pPr>
        <w:pStyle w:val="BodyText3"/>
        <w:rPr/>
      </w:pPr>
      <w:r>
        <w:rPr/>
        <w:t xml:space="preserve">We cannot speculate as to why UC/CSU filed this litigation.  Enron was recently granted a request for a stay of the lower court’s injunction by the Ninth Circuit Court of Appeals.  The Ninth Circuit decision stated that “while the merits of this dispute are close, the equities tip sharply in Enron’s favor.”   </w:t>
      </w:r>
    </w:p>
    <w:p>
      <w:pPr>
        <w:pStyle w:val="Normal"/>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lang w:eastAsia="en-US"/>
    </w:rPr>
  </w:style>
  <w:style w:type="character" w:styleId="WW8Num9z0">
    <w:name w:val="WW8Num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ce.com/" TargetMode="External"/><Relationship Id="rId3" Type="http://schemas.openxmlformats.org/officeDocument/2006/relationships/hyperlink" Target="http://www.pge.com/" TargetMode="External"/><Relationship Id="rId4" Type="http://schemas.openxmlformats.org/officeDocument/2006/relationships/hyperlink" Target="http://www.sdge.com/" TargetMode="External"/><Relationship Id="rId5" Type="http://schemas.openxmlformats.org/officeDocument/2006/relationships/hyperlink" Target="http://www.eren.doe.gov/consumerinfo/energy_savers/index.htm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2001-05-24T03:01:00Z</dcterms:created>
  <dc:creator>maxeberts</dc:creator>
  <dc:description/>
  <dc:language>en-CA</dc:language>
  <cp:lastModifiedBy>maxeberts</cp:lastModifiedBy>
  <cp:lastPrinted>2001-05-24T14:31:00Z</cp:lastPrinted>
  <dcterms:modified xsi:type="dcterms:W3CDTF">2001-05-25T23:03:00Z</dcterms:modified>
  <cp:revision>10</cp:revision>
  <dc:subject/>
  <dc:title>What are my new rates going to be</dc:title>
</cp:coreProperties>
</file>