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4,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NUI Corporation</w:t>
      </w:r>
    </w:p>
    <w:p>
      <w:pPr>
        <w:pStyle w:val="Normal"/>
        <w:jc w:val="both"/>
        <w:rPr>
          <w:rFonts w:ascii="Times New Roman" w:hAnsi="Times New Roman" w:cs="Times New Roman"/>
          <w:sz w:val="22"/>
        </w:rPr>
      </w:pPr>
      <w:r>
        <w:rPr>
          <w:rFonts w:cs="Times New Roman" w:ascii="Times New Roman" w:hAnsi="Times New Roman"/>
          <w:sz w:val="22"/>
        </w:rPr>
        <w:t>Attn:  Mr. Tom Smith</w:t>
      </w:r>
    </w:p>
    <w:p>
      <w:pPr>
        <w:pStyle w:val="Normal"/>
        <w:jc w:val="both"/>
        <w:rPr>
          <w:rFonts w:ascii="Times New Roman" w:hAnsi="Times New Roman" w:cs="Times New Roman"/>
          <w:sz w:val="22"/>
        </w:rPr>
      </w:pPr>
      <w:r>
        <w:rPr>
          <w:rFonts w:cs="Times New Roman" w:ascii="Times New Roman" w:hAnsi="Times New Roman"/>
          <w:sz w:val="22"/>
        </w:rPr>
        <w:t>Director, Energy Operations</w:t>
      </w:r>
    </w:p>
    <w:p>
      <w:pPr>
        <w:pStyle w:val="Normal"/>
        <w:jc w:val="both"/>
        <w:rPr>
          <w:rFonts w:ascii="Times New Roman" w:hAnsi="Times New Roman" w:cs="Times New Roman"/>
          <w:sz w:val="22"/>
        </w:rPr>
      </w:pPr>
      <w:r>
        <w:rPr>
          <w:rFonts w:cs="Times New Roman" w:ascii="Times New Roman" w:hAnsi="Times New Roman"/>
          <w:sz w:val="22"/>
        </w:rPr>
        <w:t>550 Route 202-206</w:t>
      </w:r>
    </w:p>
    <w:p>
      <w:pPr>
        <w:pStyle w:val="Normal"/>
        <w:jc w:val="both"/>
        <w:rPr>
          <w:rFonts w:ascii="Times New Roman" w:hAnsi="Times New Roman" w:cs="Times New Roman"/>
          <w:sz w:val="22"/>
        </w:rPr>
      </w:pPr>
      <w:r>
        <w:rPr>
          <w:rFonts w:cs="Times New Roman" w:ascii="Times New Roman" w:hAnsi="Times New Roman"/>
          <w:sz w:val="22"/>
        </w:rPr>
        <w:t>P.O. Box 760</w:t>
      </w:r>
    </w:p>
    <w:p>
      <w:pPr>
        <w:pStyle w:val="Normal"/>
        <w:jc w:val="both"/>
        <w:rPr>
          <w:rFonts w:ascii="Times New Roman" w:hAnsi="Times New Roman" w:cs="Times New Roman"/>
          <w:sz w:val="22"/>
        </w:rPr>
      </w:pPr>
      <w:r>
        <w:rPr>
          <w:rFonts w:cs="Times New Roman" w:ascii="Times New Roman" w:hAnsi="Times New Roman"/>
          <w:sz w:val="22"/>
        </w:rPr>
        <w:t>Bedminster, NJ  07921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Smith:</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NUI Corporation ("NUI") and Enron North America Corp. ("ENA") and Enron Global Markets LLC ("EGM") are prepared to furnish each other with information in connection with a proposed transaction relating to a potential fuel supply arrangement between NUI, ENA and EGM for NUI's system's requirements in Florida sourced from (i) domestic natural gas or (ii) LNG (collectively, the "Transaction").  </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reservoir, geological, financial, legal, lease and environmental data provided by NUI to ENA and EGM.  Additionally, Confidential Information includes all financing structures, analyses, compilations, studies, or other materials either derived from any of the information furnished by NUI or otherwise that ENA and EGM may provide to NUI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GLOBAL MARKETS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NUI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1440" w:leader="none"/>
          <w:tab w:val="left" w:pos="2160" w:leader="none"/>
          <w:tab w:val="right" w:pos="9360" w:leader="none"/>
        </w:tabs>
        <w:rPr>
          <w:rFonts w:ascii="Times New Roman" w:hAnsi="Times New Roman" w:cs="Times New Roman"/>
          <w:b w:val="false"/>
          <w:sz w:val="22"/>
        </w:rPr>
      </w:pPr>
      <w:r>
        <w:rPr>
          <w:rFonts w:cs="Times New Roman"/>
          <w:b w:val="false"/>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/mnt/main-storage/datasets/enron-docs/doc/CA_nuicorporation090401.DOC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NUI Corporation</w:t>
    </w:r>
  </w:p>
  <w:p>
    <w:pPr>
      <w:pStyle w:val="Header"/>
      <w:rPr>
        <w:rFonts w:ascii="Times New Roman" w:hAnsi="Times New Roman" w:cs="Times New Roman"/>
        <w:sz w:val="20"/>
      </w:rPr>
    </w:pPr>
    <w:r>
      <w:rPr>
        <w:rFonts w:cs="Times New Roman" w:ascii="Times New Roman" w:hAnsi="Times New Roman"/>
        <w:sz w:val="20"/>
      </w:rPr>
      <w:t>September 4, 2001</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2001-09-04T20:02:00Z</dcterms:created>
  <dc:creator>ECT</dc:creator>
  <dc:description/>
  <dc:language>en-CA</dc:language>
  <cp:lastModifiedBy>mogden</cp:lastModifiedBy>
  <cp:lastPrinted>2001-09-04T17:46:00Z</cp:lastPrinted>
  <dcterms:modified xsi:type="dcterms:W3CDTF">2001-09-04T20:17:00Z</dcterms:modified>
  <cp:revision>3</cp:revision>
  <dc:subject/>
  <dc:title>Reciprocal Confidentiality Agreement</dc:title>
</cp:coreProperties>
</file>