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mallCaps/>
          <w:sz w:val="22"/>
        </w:rPr>
      </w:pPr>
      <w:r>
        <w:rPr>
          <w:rFonts w:cs="Times New Roman" w:ascii="Times New Roman" w:hAnsi="Times New Roman"/>
          <w:smallCaps/>
          <w:sz w:val="22"/>
        </w:rPr>
        <w:t>September 4, 2001</w:t>
      </w:r>
    </w:p>
    <w:p>
      <w:pPr>
        <w:pStyle w:val="Normal"/>
        <w:jc w:val="both"/>
        <w:rPr>
          <w:rFonts w:ascii="Times New Roman" w:hAnsi="Times New Roman" w:cs="Times New Roman"/>
          <w:smallCaps/>
          <w:sz w:val="22"/>
        </w:rPr>
      </w:pPr>
      <w:r>
        <w:rPr>
          <w:rFonts w:cs="Times New Roman" w:ascii="Times New Roman" w:hAnsi="Times New Roman"/>
          <w:smallCaps/>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Jacksonville Electric Authority</w:t>
      </w:r>
    </w:p>
    <w:p>
      <w:pPr>
        <w:pStyle w:val="Normal"/>
        <w:jc w:val="both"/>
        <w:rPr>
          <w:rFonts w:ascii="Times New Roman" w:hAnsi="Times New Roman" w:cs="Times New Roman"/>
          <w:sz w:val="22"/>
        </w:rPr>
      </w:pPr>
      <w:r>
        <w:rPr>
          <w:rFonts w:cs="Times New Roman" w:ascii="Times New Roman" w:hAnsi="Times New Roman"/>
          <w:sz w:val="22"/>
        </w:rPr>
        <w:t>Attn:  Mr. John Henry David</w:t>
      </w:r>
    </w:p>
    <w:p>
      <w:pPr>
        <w:pStyle w:val="Normal"/>
        <w:jc w:val="both"/>
        <w:rPr>
          <w:rFonts w:ascii="Times New Roman" w:hAnsi="Times New Roman" w:cs="Times New Roman"/>
          <w:sz w:val="22"/>
        </w:rPr>
      </w:pPr>
      <w:r>
        <w:rPr>
          <w:rFonts w:cs="Times New Roman" w:ascii="Times New Roman" w:hAnsi="Times New Roman"/>
          <w:sz w:val="22"/>
        </w:rPr>
        <w:t>Director, Electric System Fuels</w:t>
      </w:r>
    </w:p>
    <w:p>
      <w:pPr>
        <w:pStyle w:val="Normal"/>
        <w:jc w:val="both"/>
        <w:rPr>
          <w:rFonts w:ascii="Times New Roman" w:hAnsi="Times New Roman" w:cs="Times New Roman"/>
          <w:sz w:val="22"/>
        </w:rPr>
      </w:pPr>
      <w:r>
        <w:rPr>
          <w:rFonts w:cs="Times New Roman" w:ascii="Times New Roman" w:hAnsi="Times New Roman"/>
          <w:sz w:val="22"/>
        </w:rPr>
        <w:t>21 West Church Street</w:t>
      </w:r>
    </w:p>
    <w:p>
      <w:pPr>
        <w:pStyle w:val="Normal"/>
        <w:jc w:val="both"/>
        <w:rPr>
          <w:rFonts w:ascii="Times New Roman" w:hAnsi="Times New Roman" w:cs="Times New Roman"/>
          <w:sz w:val="22"/>
        </w:rPr>
      </w:pPr>
      <w:r>
        <w:rPr>
          <w:rFonts w:cs="Times New Roman" w:ascii="Times New Roman" w:hAnsi="Times New Roman"/>
          <w:sz w:val="22"/>
        </w:rPr>
        <w:t>Jacksonville, FL  32202-3139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David:</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Jacksonville Electric Authority ("JEA") and Enron North America Corp. ("ENA") and Enron Global Markets LLC ("EGM") are prepared to furnish each other with information in connection with a proposed transaction relating to a potential fuel supply arrangement between JEA, ENA and EGM for JEA's system's requirements in Florida sourced from domestic natural gas (the "Transaction").</w:t>
      </w:r>
    </w:p>
    <w:p>
      <w:pPr>
        <w:pStyle w:val="BodyTextIndent2"/>
        <w:rPr/>
      </w:pPr>
      <w:r>
        <w:rPr/>
        <w:t>As a condition to furnishing the Confidential Information to each other, the parties agree as follows:</w:t>
      </w:r>
    </w:p>
    <w:p>
      <w:pPr>
        <w:pStyle w:val="Normal"/>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"Confidential Information" shall refer to any written information relating to the Transaction that is of a confidential or proprietary nature which is likely to consist of reservoir, geological, financial, legal, lease and environmental data provided by JEA to ENA and EGM.  Additionally, Confidential Information includes all financing structures, analyses, compilations, studies, or other materials either derived from any of the information furnished by JEA or otherwise that ENA and EGM may provide to JEA relating to the Transaction.  Notwithstanding the foregoing,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Neither party will disclose the Confidential Information furnished to it pursuant to this agreement without the prior written consent of the disclosing party, other than to its directors, officers and employees, as well as those individual representatives, lenders, investors, counsel and affiliates and each of their respective individual directors, officers, employees, representatives, lenders, investors,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 of any governmental, judicial or regulatory body having or assessing jurisdiction over the parties or either party.</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Purpose of Confidential Information</w:t>
      </w:r>
      <w:r>
        <w:rPr>
          <w:rFonts w:cs="Times New Roman" w:ascii="Times New Roman" w:hAnsi="Times New Roman"/>
          <w:sz w:val="22"/>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and the Confidential Information that is not so requested or returned will be held by such party and kept subject to the terms of this agreement or destroyed.</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ind w:hanging="720" w:start="108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Remedies and Liability</w:t>
      </w:r>
      <w:r>
        <w:rPr>
          <w:rFonts w:cs="Times New Roman" w:ascii="Times New Roman" w:hAnsi="Times New Roman"/>
          <w:sz w:val="22"/>
        </w:rPr>
        <w:t>.  Each party shall be liable for any breach of this agreement by it or any of its Representatives.  Each party shall be entitled to all remedies available to it at law and in equity for any such breach.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  Notwithstanding any other provision hereof, the parties agree that neither party shall be liable for consequential, special, punitive, exemplary or treble damages, whether founded in tort, contract or otherwise, in respect of the breach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Jurisdiction and Arbitration</w:t>
      </w:r>
      <w:r>
        <w:rPr>
          <w:rFonts w:cs="Times New Roman" w:ascii="Times New Roman" w:hAnsi="Times New Roman"/>
          <w:sz w:val="22"/>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Governing Law</w:t>
      </w:r>
      <w:r>
        <w:rPr>
          <w:rFonts w:cs="Times New Roman" w:ascii="Times New Roman" w:hAnsi="Times New Roman"/>
          <w:sz w:val="22"/>
        </w:rPr>
        <w:t>.  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 w:val="left" w:pos="360" w:leader="none"/>
        </w:tabs>
        <w:ind w:hanging="360" w:start="36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tabs>
          <w:tab w:val="clear" w:pos="720"/>
          <w:tab w:val="left" w:pos="360" w:leader="none"/>
        </w:tabs>
        <w:spacing w:before="0" w:after="120"/>
        <w:ind w:hanging="360" w:start="360" w:end="0"/>
        <w:jc w:val="both"/>
        <w:rPr>
          <w:rFonts w:ascii="Times New Roman" w:hAnsi="Times New Roman" w:cs="Times New Roman"/>
          <w:sz w:val="22"/>
        </w:rPr>
      </w:pPr>
      <w:r>
        <w:rPr>
          <w:rFonts w:cs="Times New Roman" w:ascii="Times New Roman" w:hAnsi="Times New Roman"/>
          <w:sz w:val="22"/>
          <w:u w:val="single"/>
        </w:rPr>
        <w:t>Term</w:t>
      </w:r>
      <w:r>
        <w:rPr>
          <w:rFonts w:cs="Times New Roman" w:ascii="Times New Roman" w:hAnsi="Times New Roman"/>
          <w:sz w:val="22"/>
        </w:rPr>
        <w:t>.  The provisions of Sections 1, 2 and 3 hereof shall terminate on the date two years from the date of this letter.</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If the foregoing accurately reflects your understanding of the terms of our agreement, please execute both copies of this Agreement and return one fully-executed original to the undersigned.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GLOBAL MARKETS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ind w:start="5040" w:end="0"/>
        <w:jc w:val="both"/>
        <w:rPr/>
      </w:pPr>
      <w:r>
        <w:rPr>
          <w:rFonts w:cs="Times New Roman" w:ascii="Times New Roman" w:hAnsi="Times New Roman"/>
          <w:sz w:val="22"/>
        </w:rPr>
        <w:t>Title:</w:t>
      </w:r>
      <w:r>
        <w:rPr>
          <w:rFonts w:cs="Times New Roman" w:ascii="Times New Roman" w:hAnsi="Times New Roman"/>
          <w:sz w:val="22"/>
          <w:u w:val="single"/>
        </w:rPr>
        <w:tab/>
        <w:tab/>
        <w:tab/>
        <w:tab/>
        <w:tab/>
        <w:tab/>
      </w:r>
    </w:p>
    <w:p>
      <w:pPr>
        <w:pStyle w:val="Normal"/>
        <w:keepNext w:val="true"/>
        <w:tabs>
          <w:tab w:val="clear" w:pos="720"/>
          <w:tab w:val="left" w:pos="4320" w:leader="none"/>
        </w:tabs>
        <w:spacing w:before="0" w:after="120"/>
        <w:ind w:start="504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ind w:start="3600" w:end="0"/>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Heading5"/>
        <w:tabs>
          <w:tab w:val="left" w:pos="720" w:leader="none"/>
          <w:tab w:val="left" w:pos="1440" w:leader="none"/>
          <w:tab w:val="left" w:pos="2160" w:leader="none"/>
          <w:tab w:val="right" w:pos="9360" w:leader="none"/>
        </w:tabs>
        <w:ind w:hanging="0" w:start="0"/>
        <w:rPr/>
      </w:pPr>
      <w:r>
        <w:rPr/>
        <w:t>JACKSONVILLE ELECTRIC AUTHORITY</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bCs/>
      <w:sz w:val="22"/>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right" w:pos="9360" w:leader="none"/>
      </w:tabs>
      <w:jc w:val="center"/>
      <w:outlineLvl w:val="7"/>
    </w:pPr>
    <w:rPr>
      <w:rFonts w:ascii="Times New Roman" w:hAnsi="Times New Roman" w:cs="Times New Roman"/>
      <w:b/>
      <w:bCs/>
      <w:smallCaps/>
      <w:sz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tabs>
        <w:tab w:val="left" w:pos="720" w:leader="none"/>
        <w:tab w:val="left" w:pos="1440" w:leader="none"/>
        <w:tab w:val="left" w:pos="2160" w:leader="none"/>
        <w:tab w:val="right" w:pos="9360" w:leader="none"/>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2001-09-04T20:23:00Z</dcterms:created>
  <dc:creator>ECT</dc:creator>
  <dc:description/>
  <dc:language>en-CA</dc:language>
  <cp:lastModifiedBy>mogden</cp:lastModifiedBy>
  <cp:lastPrinted>2001-09-04T17:55:00Z</cp:lastPrinted>
  <dcterms:modified xsi:type="dcterms:W3CDTF">2001-09-04T20:25:00Z</dcterms:modified>
  <cp:revision>3</cp:revision>
  <dc:subject/>
  <dc:title>Reciprocal Confidentiality Agreement</dc:title>
</cp:coreProperties>
</file>