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486"/>
        <w:rPr>
          <w:rFonts w:ascii="Zurich BT;Tahoma" w:hAnsi="Zurich BT;Tahoma" w:cs="Zurich BT;Tahoma"/>
          <w:spacing w:val="20"/>
          <w:sz w:val="32"/>
        </w:rPr>
      </w:pPr>
      <w:r>
        <w:drawing>
          <wp:anchor behindDoc="0" distT="0" distB="0" distL="114935" distR="114935" simplePos="0" locked="0" layoutInCell="0" allowOverlap="1" relativeHeight="6">
            <wp:simplePos x="0" y="0"/>
            <wp:positionH relativeFrom="column">
              <wp:posOffset>3108960</wp:posOffset>
            </wp:positionH>
            <wp:positionV relativeFrom="paragraph">
              <wp:posOffset>91440</wp:posOffset>
            </wp:positionV>
            <wp:extent cx="2555240" cy="776605"/>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 t="-9" r="-3" b="-9"/>
                    <a:stretch>
                      <a:fillRect/>
                    </a:stretch>
                  </pic:blipFill>
                  <pic:spPr bwMode="auto">
                    <a:xfrm>
                      <a:off x="0" y="0"/>
                      <a:ext cx="2555240" cy="776605"/>
                    </a:xfrm>
                    <a:prstGeom prst="rect">
                      <a:avLst/>
                    </a:prstGeom>
                    <a:noFill/>
                  </pic:spPr>
                </pic:pic>
              </a:graphicData>
            </a:graphic>
          </wp:anchor>
        </w:drawing>
      </w:r>
      <w:r>
        <w:rPr>
          <w:rFonts w:cs="Zurich BT;Tahoma" w:ascii="Zurich BT;Tahoma" w:hAnsi="Zurich BT;Tahoma"/>
          <w:spacing w:val="20"/>
          <w:sz w:val="32"/>
        </w:rPr>
        <w:tab/>
        <w:tab/>
        <w:tab/>
        <w:tab/>
        <w:tab/>
        <w:tab/>
        <w:tab/>
      </w:r>
    </w:p>
    <w:p>
      <w:pPr>
        <w:pStyle w:val="Normal"/>
        <w:ind w:firstLine="720" w:start="6480" w:end="-486"/>
        <w:rPr>
          <w:rFonts w:ascii="Zurich BT;Tahoma" w:hAnsi="Zurich BT;Tahoma" w:cs="Zurich BT;Tahoma"/>
          <w:spacing w:val="-8"/>
          <w:sz w:val="16"/>
        </w:rPr>
      </w:pPr>
      <w:r>
        <w:rPr>
          <w:rFonts w:cs="Zurich BT;Tahoma" w:ascii="Zurich BT;Tahoma" w:hAnsi="Zurich BT;Tahoma"/>
          <w:spacing w:val="-8"/>
          <w:sz w:val="16"/>
        </w:rPr>
        <w:t>1401 New York Avenue, NW</w:t>
      </w:r>
    </w:p>
    <w:p>
      <w:pPr>
        <w:pStyle w:val="Normal"/>
        <w:ind w:end="-486"/>
        <w:rPr/>
      </w:pPr>
      <w:r>
        <w:rPr>
          <w:rFonts w:cs="Zurich BT;Tahoma" w:ascii="Zurich BT;Tahoma" w:hAnsi="Zurich BT;Tahoma"/>
          <w:spacing w:val="-8"/>
          <w:sz w:val="16"/>
        </w:rPr>
        <w:tab/>
        <w:tab/>
        <w:tab/>
        <w:tab/>
        <w:tab/>
        <w:tab/>
        <w:tab/>
        <w:tab/>
        <w:tab/>
        <w:tab/>
        <w:t>11</w:t>
      </w:r>
      <w:r>
        <w:rPr>
          <w:rFonts w:cs="Zurich BT;Tahoma" w:ascii="Zurich BT;Tahoma" w:hAnsi="Zurich BT;Tahoma"/>
          <w:spacing w:val="-8"/>
          <w:sz w:val="16"/>
          <w:vertAlign w:val="superscript"/>
        </w:rPr>
        <w:t>th</w:t>
      </w:r>
      <w:r>
        <w:rPr>
          <w:rFonts w:cs="Zurich BT;Tahoma" w:ascii="Zurich BT;Tahoma" w:hAnsi="Zurich BT;Tahoma"/>
          <w:spacing w:val="-8"/>
          <w:sz w:val="16"/>
        </w:rPr>
        <w:t xml:space="preserve"> Floor</w:t>
      </w:r>
    </w:p>
    <w:p>
      <w:pPr>
        <w:pStyle w:val="Normal"/>
        <w:ind w:end="-486"/>
        <w:rPr>
          <w:rFonts w:ascii="Zurich BT;Tahoma" w:hAnsi="Zurich BT;Tahoma" w:cs="Zurich BT;Tahoma"/>
          <w:spacing w:val="-8"/>
          <w:sz w:val="16"/>
        </w:rPr>
      </w:pPr>
      <w:r>
        <w:rPr>
          <w:rFonts w:cs="Zurich BT;Tahoma" w:ascii="Zurich BT;Tahoma" w:hAnsi="Zurich BT;Tahoma"/>
          <w:spacing w:val="-8"/>
          <w:sz w:val="16"/>
        </w:rPr>
        <w:tab/>
        <w:tab/>
        <w:tab/>
        <w:tab/>
        <w:tab/>
        <w:tab/>
        <w:tab/>
        <w:tab/>
        <w:tab/>
        <w:tab/>
        <w:t>Washington, DC 20005</w:t>
      </w:r>
    </w:p>
    <w:p>
      <w:pPr>
        <w:pStyle w:val="Normal"/>
        <w:ind w:end="-486"/>
        <w:rPr>
          <w:rFonts w:ascii="Zurich BT;Tahoma" w:hAnsi="Zurich BT;Tahoma" w:cs="Zurich BT;Tahoma"/>
          <w:spacing w:val="-8"/>
          <w:sz w:val="16"/>
        </w:rPr>
      </w:pPr>
      <w:r>
        <w:rPr>
          <w:rFonts w:cs="Zurich BT;Tahoma" w:ascii="Zurich BT;Tahoma" w:hAnsi="Zurich BT;Tahoma"/>
          <w:spacing w:val="-8"/>
          <w:sz w:val="16"/>
        </w:rPr>
        <w:tab/>
        <w:tab/>
        <w:tab/>
        <w:tab/>
        <w:tab/>
        <w:tab/>
        <w:tab/>
        <w:tab/>
        <w:tab/>
        <w:tab/>
        <w:t>202/628-8200</w:t>
      </w:r>
    </w:p>
    <w:p>
      <w:pPr>
        <w:pStyle w:val="Normal"/>
        <w:ind w:end="-486"/>
        <w:rPr>
          <w:rFonts w:ascii="Zurich BT;Tahoma" w:hAnsi="Zurich BT;Tahoma" w:cs="Zurich BT;Tahoma"/>
          <w:spacing w:val="-8"/>
          <w:sz w:val="16"/>
        </w:rPr>
      </w:pPr>
      <w:r>
        <w:rPr>
          <w:rFonts w:cs="Zurich BT;Tahoma" w:ascii="Zurich BT;Tahoma" w:hAnsi="Zurich BT;Tahoma"/>
          <w:spacing w:val="-8"/>
          <w:sz w:val="16"/>
        </w:rPr>
        <w:tab/>
        <w:tab/>
        <w:tab/>
        <w:tab/>
        <w:tab/>
        <w:tab/>
        <w:tab/>
        <w:tab/>
        <w:tab/>
        <w:tab/>
        <w:t>202/628-8260  fax</w:t>
      </w:r>
    </w:p>
    <w:p>
      <w:pPr>
        <w:pStyle w:val="Normal"/>
        <w:ind w:end="-486"/>
        <w:rPr>
          <w:rFonts w:ascii="Zurich BT;Tahoma" w:hAnsi="Zurich BT;Tahoma" w:cs="Zurich BT;Tahoma"/>
          <w:spacing w:val="-8"/>
          <w:sz w:val="18"/>
        </w:rPr>
      </w:pPr>
      <w:r>
        <w:rPr>
          <w:rFonts w:cs="Zurich BT;Tahoma" w:ascii="Zurich BT;Tahoma" w:hAnsi="Zurich BT;Tahoma"/>
          <w:spacing w:val="-8"/>
          <w:sz w:val="16"/>
        </w:rPr>
        <w:tab/>
        <w:tab/>
        <w:tab/>
        <w:tab/>
        <w:tab/>
        <w:tab/>
        <w:tab/>
        <w:tab/>
      </w:r>
      <w:r>
        <w:rPr>
          <w:rFonts w:cs="Zurich BT;Tahoma" w:ascii="Zurich BT;Tahoma" w:hAnsi="Zurich BT;Tahoma"/>
          <w:spacing w:val="-14"/>
          <w:sz w:val="16"/>
        </w:rPr>
        <w:tab/>
        <w:tab/>
        <w:t>www.epsa.org</w:t>
      </w:r>
    </w:p>
    <w:p>
      <w:pPr>
        <w:pStyle w:val="Normal"/>
        <w:ind w:end="162"/>
        <w:rPr>
          <w:rFonts w:ascii="Zurich BT;Tahoma" w:hAnsi="Zurich BT;Tahoma" w:cs="Zurich BT;Tahoma"/>
          <w:b/>
          <w:spacing w:val="20"/>
          <w:sz w:val="24"/>
        </w:rPr>
      </w:pPr>
      <w:r>
        <w:rPr>
          <w:rFonts w:cs="Zurich BT;Tahoma" w:ascii="Zurich BT;Tahoma" w:hAnsi="Zurich BT;Tahoma"/>
          <w:b/>
          <w:caps/>
          <w:spacing w:val="20"/>
          <w:sz w:val="24"/>
        </w:rPr>
        <w:t>Memorandum</w:t>
      </w:r>
      <w:r>
        <w:rPr>
          <w:rFonts w:cs="Zurich BT;Tahoma" w:ascii="Zurich BT;Tahoma" w:hAnsi="Zurich BT;Tahoma"/>
          <w:b/>
          <w:spacing w:val="20"/>
          <w:sz w:val="24"/>
        </w:rPr>
        <w:br/>
      </w:r>
    </w:p>
    <w:tbl>
      <w:tblPr>
        <w:tblW w:w="9558" w:type="dxa"/>
        <w:jc w:val="start"/>
        <w:tblInd w:w="0" w:type="dxa"/>
        <w:tblLayout w:type="fixed"/>
        <w:tblCellMar>
          <w:top w:w="0" w:type="dxa"/>
          <w:start w:w="108" w:type="dxa"/>
          <w:bottom w:w="0" w:type="dxa"/>
          <w:end w:w="108" w:type="dxa"/>
        </w:tblCellMar>
      </w:tblPr>
      <w:tblGrid>
        <w:gridCol w:w="1278"/>
        <w:gridCol w:w="8280"/>
      </w:tblGrid>
      <w:tr>
        <w:trPr/>
        <w:tc>
          <w:tcPr>
            <w:tcW w:w="1278" w:type="dxa"/>
            <w:tcBorders/>
          </w:tcPr>
          <w:p>
            <w:pPr>
              <w:pStyle w:val="Normal"/>
              <w:spacing w:lineRule="auto" w:line="360"/>
              <w:ind w:end="162"/>
              <w:rPr>
                <w:rFonts w:ascii="Zurich BT;Tahoma" w:hAnsi="Zurich BT;Tahoma" w:cs="Zurich BT;Tahoma"/>
                <w:smallCaps/>
                <w:sz w:val="24"/>
              </w:rPr>
            </w:pPr>
            <w:r>
              <w:rPr>
                <w:rFonts w:cs="Zurich BT;Tahoma" w:ascii="Zurich BT;Tahoma" w:hAnsi="Zurich BT;Tahoma"/>
                <w:smallCaps/>
                <w:sz w:val="24"/>
              </w:rPr>
              <w:t>TO:</w:t>
            </w:r>
          </w:p>
        </w:tc>
        <w:tc>
          <w:tcPr>
            <w:tcW w:w="8280" w:type="dxa"/>
            <w:tcBorders/>
          </w:tcPr>
          <w:p>
            <w:pPr>
              <w:pStyle w:val="Normal"/>
              <w:spacing w:before="0" w:after="120"/>
              <w:ind w:end="162"/>
              <w:rPr>
                <w:rFonts w:ascii="Arial" w:hAnsi="Arial" w:cs="Arial"/>
                <w:sz w:val="24"/>
              </w:rPr>
            </w:pPr>
            <w:r>
              <w:rPr>
                <w:rFonts w:cs="Arial" w:ascii="Arial" w:hAnsi="Arial"/>
                <w:sz w:val="24"/>
              </w:rPr>
              <w:t>Environmental Issues Committee</w:t>
              <w:br/>
              <w:t>State Issues Committee</w:t>
              <w:br/>
              <w:t>Legislative Affairs Committee</w:t>
            </w:r>
          </w:p>
        </w:tc>
      </w:tr>
      <w:tr>
        <w:trPr/>
        <w:tc>
          <w:tcPr>
            <w:tcW w:w="1278" w:type="dxa"/>
            <w:tcBorders/>
          </w:tcPr>
          <w:p>
            <w:pPr>
              <w:pStyle w:val="Normal"/>
              <w:spacing w:lineRule="auto" w:line="360"/>
              <w:ind w:end="162"/>
              <w:rPr>
                <w:rFonts w:ascii="Zurich BT;Tahoma" w:hAnsi="Zurich BT;Tahoma" w:cs="Zurich BT;Tahoma"/>
                <w:smallCaps/>
                <w:sz w:val="24"/>
              </w:rPr>
            </w:pPr>
            <w:r>
              <w:rPr>
                <w:rFonts w:cs="Zurich BT;Tahoma" w:ascii="Zurich BT;Tahoma" w:hAnsi="Zurich BT;Tahoma"/>
                <w:smallCaps/>
                <w:sz w:val="24"/>
              </w:rPr>
              <w:t>FROM:</w:t>
            </w:r>
          </w:p>
        </w:tc>
        <w:tc>
          <w:tcPr>
            <w:tcW w:w="8280" w:type="dxa"/>
            <w:tcBorders/>
          </w:tcPr>
          <w:p>
            <w:pPr>
              <w:pStyle w:val="Normal"/>
              <w:ind w:end="162"/>
              <w:rPr>
                <w:rFonts w:ascii="Arial" w:hAnsi="Arial" w:cs="Arial"/>
                <w:sz w:val="24"/>
              </w:rPr>
            </w:pPr>
            <w:r>
              <w:rPr>
                <w:rFonts w:cs="Arial" w:ascii="Arial" w:hAnsi="Arial"/>
                <w:sz w:val="24"/>
              </w:rPr>
              <w:t>Frank Ferraro, Environmental Issues Committee Chair</w:t>
              <w:br/>
              <w:t>Jane Cahill, State Issues Committee Chair</w:t>
            </w:r>
          </w:p>
          <w:p>
            <w:pPr>
              <w:pStyle w:val="Normal"/>
              <w:ind w:end="162"/>
              <w:rPr>
                <w:sz w:val="24"/>
              </w:rPr>
            </w:pPr>
            <w:r>
              <w:rPr>
                <w:rFonts w:cs="Arial" w:ascii="Arial" w:hAnsi="Arial"/>
                <w:sz w:val="24"/>
              </w:rPr>
              <w:t>Scott A. Weiner, Legislative Issues Committee Chair</w:t>
            </w:r>
          </w:p>
          <w:p>
            <w:pPr>
              <w:pStyle w:val="Normal"/>
              <w:spacing w:before="0" w:after="120"/>
              <w:ind w:end="162"/>
              <w:rPr>
                <w:rFonts w:ascii="Arial" w:hAnsi="Arial" w:cs="Arial"/>
                <w:sz w:val="24"/>
              </w:rPr>
            </w:pPr>
            <w:r>
              <w:rPr>
                <w:rFonts w:cs="Arial" w:ascii="Arial" w:hAnsi="Arial"/>
                <w:sz w:val="24"/>
              </w:rPr>
              <w:t>Tiffany Elliott, Manager of Policy</w:t>
              <w:br/>
              <w:t>Samantha Slater, Manager of State and Regional Affairs</w:t>
              <w:br/>
              <w:t>Eugene Peters, Vice President of Legislative Affairs</w:t>
            </w:r>
          </w:p>
        </w:tc>
      </w:tr>
      <w:tr>
        <w:trPr/>
        <w:tc>
          <w:tcPr>
            <w:tcW w:w="1278" w:type="dxa"/>
            <w:tcBorders/>
          </w:tcPr>
          <w:p>
            <w:pPr>
              <w:pStyle w:val="Normal"/>
              <w:spacing w:lineRule="auto" w:line="360"/>
              <w:ind w:end="162"/>
              <w:rPr>
                <w:rFonts w:ascii="Zurich BT;Tahoma" w:hAnsi="Zurich BT;Tahoma" w:cs="Zurich BT;Tahoma"/>
                <w:smallCaps/>
                <w:sz w:val="24"/>
              </w:rPr>
            </w:pPr>
            <w:r>
              <w:rPr>
                <w:rFonts w:cs="Zurich BT;Tahoma" w:ascii="Zurich BT;Tahoma" w:hAnsi="Zurich BT;Tahoma"/>
                <w:smallCaps/>
                <w:sz w:val="24"/>
              </w:rPr>
              <w:t>DATE:</w:t>
            </w:r>
          </w:p>
        </w:tc>
        <w:tc>
          <w:tcPr>
            <w:tcW w:w="8280" w:type="dxa"/>
            <w:tcBorders/>
          </w:tcPr>
          <w:p>
            <w:pPr>
              <w:pStyle w:val="Normal"/>
              <w:spacing w:lineRule="auto" w:line="360"/>
              <w:ind w:end="162"/>
              <w:rPr>
                <w:rFonts w:ascii="Arial" w:hAnsi="Arial" w:cs="Arial"/>
                <w:sz w:val="24"/>
              </w:rPr>
            </w:pPr>
            <w:r>
              <w:rPr>
                <w:rFonts w:cs="Arial" w:ascii="Arial" w:hAnsi="Arial"/>
                <w:sz w:val="24"/>
              </w:rPr>
              <w:t>March 21, 2001</w:t>
            </w:r>
          </w:p>
        </w:tc>
      </w:tr>
      <w:tr>
        <w:trPr/>
        <w:tc>
          <w:tcPr>
            <w:tcW w:w="1278" w:type="dxa"/>
            <w:tcBorders>
              <w:bottom w:val="single" w:sz="6" w:space="0" w:color="000000"/>
            </w:tcBorders>
          </w:tcPr>
          <w:p>
            <w:pPr>
              <w:pStyle w:val="Normal"/>
              <w:spacing w:lineRule="auto" w:line="360"/>
              <w:ind w:end="162"/>
              <w:rPr>
                <w:rFonts w:ascii="Zurich BT;Tahoma" w:hAnsi="Zurich BT;Tahoma" w:cs="Zurich BT;Tahoma"/>
                <w:smallCaps/>
                <w:sz w:val="24"/>
              </w:rPr>
            </w:pPr>
            <w:r>
              <w:rPr>
                <w:rFonts w:cs="Zurich BT;Tahoma" w:ascii="Zurich BT;Tahoma" w:hAnsi="Zurich BT;Tahoma"/>
                <w:smallCaps/>
                <w:sz w:val="24"/>
              </w:rPr>
              <w:t>RE:</w:t>
            </w:r>
          </w:p>
        </w:tc>
        <w:tc>
          <w:tcPr>
            <w:tcW w:w="8280" w:type="dxa"/>
            <w:tcBorders>
              <w:bottom w:val="single" w:sz="6" w:space="0" w:color="000000"/>
            </w:tcBorders>
          </w:tcPr>
          <w:p>
            <w:pPr>
              <w:pStyle w:val="Heading5"/>
              <w:spacing w:before="0" w:after="0"/>
              <w:ind w:end="158"/>
              <w:rPr/>
            </w:pPr>
            <w:r>
              <w:rPr/>
              <w:t xml:space="preserve">Role of Environmental Regulations in California </w:t>
            </w:r>
          </w:p>
          <w:p>
            <w:pPr>
              <w:pStyle w:val="Normal"/>
              <w:numPr>
                <w:ilvl w:val="0"/>
                <w:numId w:val="2"/>
              </w:numPr>
              <w:tabs>
                <w:tab w:val="clear" w:pos="720"/>
                <w:tab w:val="left" w:pos="7992" w:leader="none"/>
              </w:tabs>
              <w:ind w:hanging="360" w:start="360" w:end="-198"/>
              <w:rPr>
                <w:rFonts w:ascii="Arial" w:hAnsi="Arial" w:cs="Arial"/>
                <w:b/>
                <w:i/>
                <w:i/>
                <w:sz w:val="24"/>
              </w:rPr>
            </w:pPr>
            <w:r>
              <w:rPr>
                <w:rFonts w:cs="Arial" w:ascii="Arial" w:hAnsi="Arial"/>
                <w:b/>
                <w:i/>
                <w:sz w:val="24"/>
              </w:rPr>
              <w:t>Draft Letter to Joe Barton Attached for Review</w:t>
            </w:r>
          </w:p>
          <w:p>
            <w:pPr>
              <w:pStyle w:val="Normal"/>
              <w:numPr>
                <w:ilvl w:val="0"/>
                <w:numId w:val="2"/>
              </w:numPr>
              <w:tabs>
                <w:tab w:val="clear" w:pos="720"/>
                <w:tab w:val="left" w:pos="7992" w:leader="none"/>
              </w:tabs>
              <w:spacing w:before="0" w:after="120"/>
              <w:ind w:hanging="360" w:start="360" w:end="-202"/>
              <w:rPr>
                <w:rFonts w:ascii="Arial" w:hAnsi="Arial" w:cs="Arial"/>
                <w:b/>
                <w:i/>
                <w:i/>
                <w:sz w:val="24"/>
              </w:rPr>
            </w:pPr>
            <w:r>
              <w:rPr>
                <w:rFonts w:cs="Arial" w:ascii="Arial" w:hAnsi="Arial"/>
                <w:b/>
                <w:i/>
                <w:sz w:val="24"/>
              </w:rPr>
              <w:t>Comments Due By the Close of Business on Monday, March 26</w:t>
            </w:r>
            <w:r>
              <w:rPr>
                <w:rFonts w:cs="Arial" w:ascii="Arial" w:hAnsi="Arial"/>
                <w:b/>
                <w:i/>
                <w:sz w:val="24"/>
                <w:vertAlign w:val="superscript"/>
              </w:rPr>
              <w:t>th</w:t>
            </w:r>
          </w:p>
        </w:tc>
      </w:tr>
    </w:tbl>
    <w:p>
      <w:pPr>
        <w:pStyle w:val="Normal"/>
        <w:tabs>
          <w:tab w:val="clear" w:pos="720"/>
          <w:tab w:val="left" w:pos="9360" w:leader="none"/>
        </w:tabs>
        <w:ind w:end="162"/>
        <w:rPr/>
      </w:pPr>
      <w:r>
        <w:rPr>
          <w:rFonts w:cs="Arial" w:ascii="Arial" w:hAnsi="Arial"/>
          <w:sz w:val="24"/>
        </w:rPr>
        <w:br/>
      </w:r>
      <w:r>
        <w:rPr>
          <w:rFonts w:cs="Arial" w:ascii="Arial" w:hAnsi="Arial"/>
          <w:b/>
          <w:sz w:val="24"/>
        </w:rPr>
        <w:t>At the request of Members of the House Commerce Committee, EPSA has prepared a brief analysis of the role of environmental regulations in California’s electricity supply problems.</w:t>
      </w:r>
      <w:r>
        <w:rPr>
          <w:rFonts w:cs="Arial" w:ascii="Arial" w:hAnsi="Arial"/>
          <w:sz w:val="24"/>
        </w:rPr>
        <w:t xml:space="preserve">  Specifically, the Members asked EPSA to comment on the impact of regulations on the availability of existing generating capacity to serve demand, as well as on the development of new, additional generating capacity.  EPSA held a conference call earlier this month to discuss these issues.</w:t>
      </w:r>
    </w:p>
    <w:p>
      <w:pPr>
        <w:pStyle w:val="Normal"/>
        <w:tabs>
          <w:tab w:val="clear" w:pos="720"/>
          <w:tab w:val="left" w:pos="9360" w:leader="none"/>
        </w:tabs>
        <w:ind w:end="162"/>
        <w:rPr>
          <w:rFonts w:ascii="Arial" w:hAnsi="Arial" w:cs="Arial"/>
          <w:sz w:val="24"/>
        </w:rPr>
      </w:pPr>
      <w:r>
        <w:rPr>
          <w:rFonts w:cs="Arial" w:ascii="Arial" w:hAnsi="Arial"/>
          <w:sz w:val="24"/>
        </w:rPr>
      </w:r>
    </w:p>
    <w:p>
      <w:pPr>
        <w:pStyle w:val="Normal"/>
        <w:tabs>
          <w:tab w:val="clear" w:pos="720"/>
          <w:tab w:val="left" w:pos="9360" w:leader="none"/>
        </w:tabs>
        <w:ind w:end="162"/>
        <w:rPr/>
      </w:pPr>
      <w:r>
        <w:rPr>
          <w:rFonts w:cs="Arial" w:ascii="Arial" w:hAnsi="Arial"/>
          <w:b/>
          <w:sz w:val="24"/>
        </w:rPr>
        <w:t>Attached for your review is EPSA’s draft response to Congress.  Please provide any comments to Tiffany Elliott at EPSA (202-628-8200 or telliott@epsa.org) no later than the close of business on Monday, March 26</w:t>
      </w:r>
      <w:r>
        <w:rPr>
          <w:rFonts w:cs="Arial" w:ascii="Arial" w:hAnsi="Arial"/>
          <w:b/>
          <w:sz w:val="24"/>
          <w:vertAlign w:val="superscript"/>
        </w:rPr>
        <w:t>th</w:t>
      </w:r>
      <w:r>
        <w:rPr>
          <w:rFonts w:cs="Arial" w:ascii="Arial" w:hAnsi="Arial"/>
          <w:b/>
          <w:sz w:val="24"/>
        </w:rPr>
        <w:t>.</w:t>
      </w:r>
      <w:r>
        <w:rPr>
          <w:rFonts w:cs="Arial" w:ascii="Arial" w:hAnsi="Arial"/>
          <w:sz w:val="24"/>
        </w:rPr>
        <w:t xml:space="preserve">  EPSA understands that some of its members have plotted data reflecting the expected impacts of NOx obligations on their California plants’ operations.  EPSA would appreciate any such data that can be made available for characterization in our letter to Congress.  Citations to specific impacts, even on an anecdotal basis, will underscore our messages to Congress.</w:t>
      </w:r>
    </w:p>
    <w:p>
      <w:pPr>
        <w:pStyle w:val="Normal"/>
        <w:tabs>
          <w:tab w:val="clear" w:pos="720"/>
          <w:tab w:val="left" w:pos="9360" w:leader="none"/>
        </w:tabs>
        <w:ind w:end="162"/>
        <w:rPr>
          <w:rFonts w:ascii="Arial" w:hAnsi="Arial" w:cs="Arial"/>
          <w:b/>
          <w:sz w:val="24"/>
        </w:rPr>
      </w:pPr>
      <w:r>
        <w:rPr>
          <w:rFonts w:cs="Arial" w:ascii="Arial" w:hAnsi="Arial"/>
          <w:b/>
          <w:sz w:val="24"/>
        </w:rPr>
      </w:r>
    </w:p>
    <w:p>
      <w:pPr>
        <w:pStyle w:val="Normal"/>
        <w:tabs>
          <w:tab w:val="clear" w:pos="720"/>
          <w:tab w:val="left" w:pos="9360" w:leader="none"/>
        </w:tabs>
        <w:ind w:end="162"/>
        <w:rPr>
          <w:rFonts w:ascii="Arial" w:hAnsi="Arial" w:cs="Arial"/>
          <w:sz w:val="24"/>
        </w:rPr>
      </w:pPr>
      <w:r>
        <w:rPr>
          <w:rFonts w:cs="Arial" w:ascii="Arial" w:hAnsi="Arial"/>
          <w:sz w:val="24"/>
        </w:rPr>
        <w:t>EPSA will not schedule another conference call on this issue unless major comments are received.</w:t>
      </w:r>
    </w:p>
    <w:p>
      <w:pPr>
        <w:pStyle w:val="Normal"/>
        <w:tabs>
          <w:tab w:val="clear" w:pos="720"/>
          <w:tab w:val="left" w:pos="9360" w:leader="none"/>
        </w:tabs>
        <w:ind w:end="162"/>
        <w:rPr>
          <w:rFonts w:ascii="Arial" w:hAnsi="Arial" w:cs="Arial"/>
          <w:sz w:val="24"/>
        </w:rPr>
      </w:pPr>
      <w:r>
        <w:rPr>
          <w:rFonts w:cs="Arial" w:ascii="Arial" w:hAnsi="Arial"/>
          <w:sz w:val="24"/>
        </w:rPr>
      </w:r>
    </w:p>
    <w:p>
      <w:pPr>
        <w:pStyle w:val="Normal"/>
        <w:tabs>
          <w:tab w:val="clear" w:pos="720"/>
          <w:tab w:val="left" w:pos="9360" w:leader="none"/>
        </w:tabs>
        <w:ind w:end="162"/>
        <w:rPr>
          <w:rFonts w:ascii="Arial" w:hAnsi="Arial" w:cs="Arial"/>
          <w:sz w:val="24"/>
        </w:rPr>
      </w:pPr>
      <w:r>
        <w:rPr>
          <w:rFonts w:cs="Arial" w:ascii="Arial" w:hAnsi="Arial"/>
          <w:sz w:val="24"/>
        </w:rPr>
        <w:t>Attachment</w:t>
      </w:r>
    </w:p>
    <w:p>
      <w:pPr>
        <w:pStyle w:val="Normal"/>
        <w:tabs>
          <w:tab w:val="clear" w:pos="720"/>
          <w:tab w:val="left" w:pos="9360" w:leader="none"/>
        </w:tabs>
        <w:ind w:end="162"/>
        <w:rPr>
          <w:rFonts w:ascii="Arial" w:hAnsi="Arial" w:cs="Arial"/>
          <w:sz w:val="24"/>
        </w:rPr>
      </w:pPr>
      <w:r>
        <w:rPr>
          <w:rFonts w:cs="Arial" w:ascii="Arial" w:hAnsi="Arial"/>
          <w:sz w:val="24"/>
        </w:rPr>
      </w:r>
    </w:p>
    <w:p>
      <w:pPr>
        <w:pStyle w:val="Heading1"/>
        <w:rPr>
          <w:sz w:val="40"/>
          <w:u w:val="single"/>
        </w:rPr>
      </w:pPr>
      <w:r>
        <w:rPr>
          <w:sz w:val="40"/>
          <w:u w:val="single"/>
        </w:rPr>
        <w:t>DRAFT</w:t>
      </w:r>
    </w:p>
    <w:p>
      <w:pPr>
        <w:pStyle w:val="Normal"/>
        <w:rPr>
          <w:rFonts w:ascii="Arial" w:hAnsi="Arial" w:cs="Arial"/>
          <w:sz w:val="24"/>
          <w:u w:val="single"/>
        </w:rPr>
      </w:pPr>
      <w:r>
        <w:rPr>
          <w:rFonts w:cs="Arial" w:ascii="Arial" w:hAnsi="Arial"/>
          <w:sz w:val="24"/>
          <w:u w:val="single"/>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March [ ], 2001</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The Honorable Joe Barton</w:t>
      </w:r>
    </w:p>
    <w:p>
      <w:pPr>
        <w:pStyle w:val="Normal"/>
        <w:rPr>
          <w:rFonts w:ascii="Arial" w:hAnsi="Arial" w:cs="Arial"/>
          <w:sz w:val="24"/>
        </w:rPr>
      </w:pPr>
      <w:r>
        <w:rPr>
          <w:rFonts w:cs="Arial" w:ascii="Arial" w:hAnsi="Arial"/>
          <w:sz w:val="24"/>
        </w:rPr>
        <w:t>Chairman</w:t>
      </w:r>
    </w:p>
    <w:p>
      <w:pPr>
        <w:pStyle w:val="Normal"/>
        <w:rPr>
          <w:rFonts w:ascii="Arial" w:hAnsi="Arial" w:cs="Arial"/>
          <w:sz w:val="24"/>
        </w:rPr>
      </w:pPr>
      <w:r>
        <w:rPr>
          <w:rFonts w:cs="Arial" w:ascii="Arial" w:hAnsi="Arial"/>
          <w:sz w:val="24"/>
        </w:rPr>
        <w:t>Subcommittee on Energy and Air Quality</w:t>
      </w:r>
    </w:p>
    <w:p>
      <w:pPr>
        <w:pStyle w:val="Normal"/>
        <w:rPr>
          <w:rFonts w:ascii="Arial" w:hAnsi="Arial" w:cs="Arial"/>
          <w:sz w:val="24"/>
        </w:rPr>
      </w:pPr>
      <w:r>
        <w:rPr>
          <w:rFonts w:cs="Arial" w:ascii="Arial" w:hAnsi="Arial"/>
          <w:sz w:val="24"/>
        </w:rPr>
        <w:t>House Energy and Commerce Committee</w:t>
      </w:r>
    </w:p>
    <w:p>
      <w:pPr>
        <w:pStyle w:val="Normal"/>
        <w:rPr>
          <w:rFonts w:ascii="Arial" w:hAnsi="Arial" w:cs="Arial"/>
          <w:sz w:val="24"/>
        </w:rPr>
      </w:pPr>
      <w:r>
        <w:rPr>
          <w:rFonts w:cs="Arial" w:ascii="Arial" w:hAnsi="Arial"/>
          <w:sz w:val="24"/>
        </w:rPr>
        <w:t>2125 Rayburn House Office Building</w:t>
      </w:r>
    </w:p>
    <w:p>
      <w:pPr>
        <w:pStyle w:val="Normal"/>
        <w:rPr>
          <w:rFonts w:ascii="Arial" w:hAnsi="Arial" w:cs="Arial"/>
          <w:sz w:val="24"/>
        </w:rPr>
      </w:pPr>
      <w:r>
        <w:rPr>
          <w:rFonts w:cs="Arial" w:ascii="Arial" w:hAnsi="Arial"/>
          <w:sz w:val="24"/>
        </w:rPr>
        <w:t>Washington, D.C.  20515</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Dear Chairman Barton:</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We appreciate your ongoing interest in electricity competition and your concerns about California’s current electricity supply problems.  We are pleased to respond to your inquiry about the role of environmental pressures in California’s challenges to meet its growing electricity demand.</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As you know, EPSA is the national trade association representing competitive power suppliers, including independent power producers, merchant generators and power marketers.  EPSA members provide reliable, competitively priced electricity from environmentally responsible facilities in U.S. and global power markets.  EPSA seeks to bring the benefits of competition to all power customers.</w:t>
      </w:r>
    </w:p>
    <w:p>
      <w:pPr>
        <w:pStyle w:val="Normal"/>
        <w:rPr>
          <w:rFonts w:ascii="Arial" w:hAnsi="Arial" w:cs="Arial"/>
          <w:sz w:val="24"/>
        </w:rPr>
      </w:pPr>
      <w:r>
        <w:rPr>
          <w:rFonts w:cs="Arial" w:ascii="Arial" w:hAnsi="Arial"/>
          <w:sz w:val="24"/>
        </w:rPr>
      </w:r>
    </w:p>
    <w:p>
      <w:pPr>
        <w:pStyle w:val="Normal"/>
        <w:rPr>
          <w:rFonts w:ascii="Arial" w:hAnsi="Arial" w:cs="Arial"/>
          <w:color w:val="000000"/>
          <w:sz w:val="24"/>
          <w:lang w:eastAsia="en-US"/>
        </w:rPr>
      </w:pPr>
      <w:r>
        <w:rPr>
          <w:rFonts w:cs="Arial" w:ascii="Arial" w:hAnsi="Arial"/>
          <w:color w:val="000000"/>
          <w:sz w:val="24"/>
          <w:lang w:eastAsia="en-US"/>
        </w:rPr>
        <w:t>EPSA members are proud of their record of environmental performance.  By pioneering the use of advanced technologies, our members’ new generating plants are leading the nation in producing electricity more cheaply, efficiently and cleanly than ever before.  Their purchased plants are commonly upgraded to optimize their competitive performance, yielding significant efficiency and environmental gains.  Their renewable power plants are also a key source of clean generation to serve the nation’s growing electricity demand.</w:t>
      </w:r>
    </w:p>
    <w:p>
      <w:pPr>
        <w:pStyle w:val="Normal"/>
        <w:rPr>
          <w:rFonts w:ascii="Arial" w:hAnsi="Arial" w:cs="Arial"/>
          <w:color w:val="000000"/>
          <w:sz w:val="24"/>
          <w:lang w:eastAsia="en-US"/>
        </w:rPr>
      </w:pPr>
      <w:r>
        <w:rPr>
          <w:rFonts w:cs="Arial" w:ascii="Arial" w:hAnsi="Arial"/>
          <w:color w:val="000000"/>
          <w:sz w:val="24"/>
          <w:lang w:eastAsia="en-US"/>
        </w:rPr>
      </w:r>
    </w:p>
    <w:p>
      <w:pPr>
        <w:pStyle w:val="Heading3"/>
        <w:ind w:hanging="0" w:start="0"/>
        <w:rPr>
          <w:rFonts w:ascii="Arial" w:hAnsi="Arial" w:cs="Arial"/>
        </w:rPr>
      </w:pPr>
      <w:r>
        <w:rPr>
          <w:rFonts w:cs="Arial" w:ascii="Arial" w:hAnsi="Arial"/>
        </w:rPr>
        <w:t>The California Market</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California’s environmental regulations are constraining both the operation of existing power plants and development of new generating capacity in the state.  This has not always been the case; until last year, merchant suppliers were able to plan and achieve their operating objectives while meeting or exceeding all environmental regulatory obligations.  In fact, while environmental regulations may contribute to the situation in California, they are not the cause of the problem.  The fact is that, on any given day, demand may exceed or nearly exceed power supply.  In this crisis situation, any additional pressure or constraint can have dramatically exaggerated impacts.  That is the current context for environmental regulatory impacts on California’s electricity supply.</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The supply shortfalls of the past year have dramatically changed the manner in which existing plants must run to meet growing demand.  Until sufficient additional capacity comes online, environmental regulatory requirements will continue to strain generators’ best efforts to make up the slack.</w:t>
      </w:r>
    </w:p>
    <w:p>
      <w:pPr>
        <w:pStyle w:val="Normal"/>
        <w:rPr>
          <w:rFonts w:ascii="Arial" w:hAnsi="Arial" w:cs="Arial"/>
          <w:sz w:val="24"/>
        </w:rPr>
      </w:pPr>
      <w:r>
        <w:rPr>
          <w:rFonts w:cs="Arial" w:ascii="Arial" w:hAnsi="Arial"/>
          <w:sz w:val="24"/>
        </w:rPr>
      </w:r>
    </w:p>
    <w:p>
      <w:pPr>
        <w:pStyle w:val="Heading2"/>
        <w:ind w:hanging="0" w:start="0"/>
        <w:rPr>
          <w:rFonts w:ascii="Arial" w:hAnsi="Arial" w:cs="Arial"/>
        </w:rPr>
      </w:pPr>
      <w:r>
        <w:rPr>
          <w:rFonts w:cs="Arial" w:ascii="Arial" w:hAnsi="Arial"/>
        </w:rPr>
        <w:t>Operating Constraints</w:t>
      </w:r>
    </w:p>
    <w:p>
      <w:pPr>
        <w:pStyle w:val="Normal"/>
        <w:rPr>
          <w:rFonts w:ascii="Arial" w:hAnsi="Arial" w:cs="Arial"/>
          <w:sz w:val="24"/>
        </w:rPr>
      </w:pPr>
      <w:r>
        <w:rPr>
          <w:rFonts w:cs="Arial" w:ascii="Arial" w:hAnsi="Arial"/>
          <w:sz w:val="24"/>
        </w:rPr>
      </w:r>
    </w:p>
    <w:p>
      <w:pPr>
        <w:pStyle w:val="BodyText"/>
        <w:spacing w:before="0" w:after="0"/>
        <w:ind w:end="0"/>
        <w:rPr/>
      </w:pPr>
      <w:r>
        <w:rPr/>
        <w:t>The operation of existing generating plants has been directly affected by environmental regulatory requirements.  In the face of supply shortages, existing plants have been operated at unprecedented rates to keep pace with demand.  However, due to the increased operations, plants have (1) exhausted their required nitrogen oxides (NOx) emissions credits and/or (2) exceeded their permitted operating hours.  Generating companies and regulators are struggling with these constraints.</w:t>
      </w:r>
    </w:p>
    <w:p>
      <w:pPr>
        <w:pStyle w:val="BodyText"/>
        <w:spacing w:before="0" w:after="0"/>
        <w:ind w:end="0"/>
        <w:rPr/>
      </w:pPr>
      <w:r>
        <w:rPr/>
      </w:r>
    </w:p>
    <w:p>
      <w:pPr>
        <w:pStyle w:val="BodyText"/>
        <w:spacing w:before="0" w:after="0"/>
        <w:ind w:end="0"/>
        <w:rPr/>
      </w:pPr>
      <w:r>
        <w:rPr/>
        <w:t>To date, negotiations with California’s environmental regulators have allowed most plants to avoid outages by borrowing allowances from future compliance periods, paying “pollution mitigation fees” and/or paying penalties for noncompliance.  While this may temporarily prevent air quality regulations from exacerbating electricity supply constraints, EPSA’s members have two serious concerns about such approaches.</w:t>
      </w:r>
    </w:p>
    <w:p>
      <w:pPr>
        <w:pStyle w:val="BodyText"/>
        <w:spacing w:before="0" w:after="0"/>
        <w:ind w:end="0"/>
        <w:rPr/>
      </w:pPr>
      <w:r>
        <w:rPr/>
      </w:r>
    </w:p>
    <w:p>
      <w:pPr>
        <w:pStyle w:val="BodyText"/>
        <w:spacing w:before="0" w:after="0"/>
        <w:ind w:end="0"/>
        <w:rPr/>
      </w:pPr>
      <w:r>
        <w:rPr/>
        <w:t>First, many plants’ operating permits are crafted to specifically limit their operations to avoid triggering emissions and other “major source” thresholds, which would subject the plant to the stringent requirements of the Clean Air Act’s new source review program.  These federal requirements, implemented by the state through its air quality management districts (AQMDs), are particularly onerous in “nonattainment areas” for air quality.  Most of California’s electricity demand centers coincide geographically with nonattainment areas.  Therefore, the goal of temporarily maximizing electricity generation to serve demand may put plants at serious risk of permanently changing their entire environmental regulatory status.</w:t>
      </w:r>
    </w:p>
    <w:p>
      <w:pPr>
        <w:pStyle w:val="BodyText"/>
        <w:spacing w:before="0" w:after="0"/>
        <w:ind w:end="0"/>
        <w:rPr/>
      </w:pPr>
      <w:r>
        <w:rPr/>
      </w:r>
    </w:p>
    <w:p>
      <w:pPr>
        <w:pStyle w:val="BodyText"/>
        <w:spacing w:before="0" w:after="0"/>
        <w:ind w:end="0"/>
        <w:rPr/>
      </w:pPr>
      <w:r>
        <w:rPr/>
        <w:t>While plants are working with their AQMDs to address these risks, state and local regulators are ultimately bound by federal rules.  Local officials are risk averse, and disinclined to take action that may not conform to federal policy.  Governor Gray Davis’s recent emergency order addressed emission limits, but its failure to address operating-hour limits and the role of federal requirements leaves serious liability questions for generators.  We are not aware of state or local dialogues with the U.S. EPA or Congress on this issue.  One area in which federal assistance may be helpful is expedited action by the U.S. EPA or Congress to clarify the applicability of new source review thresholds in emergencies in which plants are needed to operate to avoid supply shortfalls and rolling blackouts.</w:t>
      </w:r>
    </w:p>
    <w:p>
      <w:pPr>
        <w:pStyle w:val="BodyText"/>
        <w:spacing w:before="0" w:after="0"/>
        <w:ind w:end="0"/>
        <w:rPr/>
      </w:pPr>
      <w:r>
        <w:rPr/>
      </w:r>
    </w:p>
    <w:p>
      <w:pPr>
        <w:pStyle w:val="BodyText"/>
        <w:spacing w:before="0" w:after="0"/>
        <w:ind w:end="0"/>
        <w:rPr/>
      </w:pPr>
      <w:r>
        <w:rPr/>
        <w:t>Unfortunately, the problem cannot be remedied simply through policy or guidance.</w:t>
      </w:r>
      <w:r>
        <w:rPr>
          <w:lang w:eastAsia="en-US"/>
        </w:rPr>
        <w:t xml:space="preserve">  Without a federal statute or rule that essentially pre-empts citizen suits in emergency situations, plants will be vulnerable to citizen suits even if EPA issues guidance stating that they will not take enforcement action for emission limit exceedances that occur during a power shortage.  In fact, if a state or local standard is adopted as part of a state implementation plan (SIP), the rule can be enforced by citizens until it is revised by the U.S. EPA or superceded by an act of Congress.  EPSA strongly encourages Congress and/or EPA to pursue effective and timely remedies to this problem.</w:t>
      </w:r>
    </w:p>
    <w:p>
      <w:pPr>
        <w:pStyle w:val="BodyText"/>
        <w:spacing w:before="0" w:after="0"/>
        <w:ind w:end="0"/>
        <w:rPr/>
      </w:pPr>
      <w:r>
        <w:rPr/>
      </w:r>
    </w:p>
    <w:p>
      <w:pPr>
        <w:pStyle w:val="BodyText"/>
        <w:spacing w:before="0" w:after="0"/>
        <w:ind w:end="0"/>
        <w:rPr/>
      </w:pPr>
      <w:r>
        <w:rPr/>
        <w:t>Second, merchant generators are very concerned that temporarily alleviating environmental regulatory requirements will only fuel public opposition to new plant construction, and electricity generation generally.  Public opposition to the perceived negative environmental, safety, property value and aesthetic effects of power stations has already delayed and cancelled various plans to build needed generating capacity.  Allowing the goal of serving demand to temporarily outweigh environmental regulatory goals may exacerbate already-heightened public opposition.  Environmental groups citing high and/or “excess” emissions by merchant generators under such conditions are unlikely to acknowledge pollution mitigation fees paid to offset the resulting emissions.</w:t>
      </w:r>
    </w:p>
    <w:p>
      <w:pPr>
        <w:pStyle w:val="BodyText"/>
        <w:spacing w:before="0" w:after="0"/>
        <w:ind w:end="0"/>
        <w:rPr/>
      </w:pPr>
      <w:r>
        <w:rPr/>
      </w:r>
    </w:p>
    <w:p>
      <w:pPr>
        <w:pStyle w:val="BodyText"/>
        <w:spacing w:before="0" w:after="0"/>
        <w:ind w:end="0"/>
        <w:rPr/>
      </w:pPr>
      <w:r>
        <w:rPr/>
        <w:t>EPSA members have worked to build and operate their plants in an environmentally responsible manner and develop good relationships with their local communities.  The prospect of alleviating regulatory requirements puts EPSA members in the difficult position of wanting to protect their good image and relationships, while continuing to run beyond their permit limits to serve load.  EPSA encourages Congress and the U.S. EPA to work quickly and creatively to find solutions, such as emergency allowances for operations and/or emissions, to protect the tradition of compliance and good community relations among merchant suppliers.  Otherwise, community opposition to the perceived environmental impacts of power generation could further block the addition of new capacity, which is absolutely critical to restoring electricity reliability in California.</w:t>
      </w:r>
    </w:p>
    <w:p>
      <w:pPr>
        <w:pStyle w:val="BodyText"/>
        <w:spacing w:before="0" w:after="0"/>
        <w:ind w:end="0"/>
        <w:rPr/>
      </w:pPr>
      <w:r>
        <w:rPr/>
      </w:r>
    </w:p>
    <w:p>
      <w:pPr>
        <w:pStyle w:val="Heading2"/>
        <w:ind w:hanging="0" w:start="0"/>
        <w:rPr>
          <w:rFonts w:ascii="Arial" w:hAnsi="Arial" w:cs="Arial"/>
        </w:rPr>
      </w:pPr>
      <w:r>
        <w:rPr>
          <w:rFonts w:cs="Arial" w:ascii="Arial" w:hAnsi="Arial"/>
        </w:rPr>
        <w:t>Siting Constraints</w:t>
      </w:r>
    </w:p>
    <w:p>
      <w:pPr>
        <w:pStyle w:val="Normal"/>
        <w:rPr>
          <w:rFonts w:ascii="Arial" w:hAnsi="Arial" w:cs="Arial"/>
          <w:sz w:val="24"/>
        </w:rPr>
      </w:pPr>
      <w:r>
        <w:rPr>
          <w:rFonts w:cs="Arial" w:ascii="Arial" w:hAnsi="Arial"/>
          <w:sz w:val="24"/>
        </w:rPr>
      </w:r>
    </w:p>
    <w:p>
      <w:pPr>
        <w:pStyle w:val="BodyText"/>
        <w:spacing w:before="0" w:after="0"/>
        <w:ind w:end="0"/>
        <w:rPr/>
      </w:pPr>
      <w:r>
        <w:rPr/>
        <w:t xml:space="preserve">As with regulatory stresses on plant operations, challenges to siting new generating capacity must be viewed in the context of California’s market crisis.  Most of the challenges to new plants result from concerns about investment risk related to developers’ uncertainties about interconnection, cost recovery, and development schedules reliant on California’s unusually complex and long permit/licensing process. </w:t>
      </w:r>
    </w:p>
    <w:p>
      <w:pPr>
        <w:pStyle w:val="BodyText"/>
        <w:spacing w:before="0" w:after="0"/>
        <w:ind w:end="0"/>
        <w:rPr/>
      </w:pPr>
      <w:r>
        <w:rPr/>
      </w:r>
    </w:p>
    <w:p>
      <w:pPr>
        <w:pStyle w:val="BodyText"/>
        <w:spacing w:before="0" w:after="0"/>
        <w:ind w:end="0"/>
        <w:rPr/>
      </w:pPr>
      <w:r>
        <w:rPr/>
        <w:t>This is not to discount the very real challenges to siting that arise from environmental concerns.  California is among the most difficult places in the country to build new plants, partly because of the strength of its public opposition.  In the current market context, however, additional increments of environmental risk—related to allowance and/or offset price/availability, durability of requirements, public opposition and other variables—are magnified in their effect on siting decisions.</w:t>
      </w:r>
    </w:p>
    <w:p>
      <w:pPr>
        <w:pStyle w:val="BodyText"/>
        <w:spacing w:before="0" w:after="0"/>
        <w:ind w:end="0"/>
        <w:rPr/>
      </w:pPr>
      <w:r>
        <w:rPr/>
      </w:r>
    </w:p>
    <w:p>
      <w:pPr>
        <w:pStyle w:val="BodyText"/>
        <w:spacing w:before="0" w:after="0"/>
        <w:ind w:end="0"/>
        <w:rPr/>
      </w:pPr>
      <w:r>
        <w:rPr/>
        <w:t>In fact, early in the process of developing any project in California, developers must secure emission offsets for the new facility, sometimes at a greater than one to one ratio.  Given the length of the permitting/licensing process, offsets must be purchased years in advance of their anticipated use.  This can be a significant constraint from an availability, cost and cost recovery standpoint, as early outlays may not be recoverable if siting is unsuccessful or market conditions change.  Again, this may be an area in which regulatory authorities can improve the predictability and stability of new capacity development.  EPSA encourages Congress and the U.S. EPA to work with California to facilitate alternative sources of offsets and/or allowances to support the development of new clean and efficient generating capacity.</w:t>
      </w:r>
    </w:p>
    <w:p>
      <w:pPr>
        <w:pStyle w:val="BodyText"/>
        <w:spacing w:before="0" w:after="0"/>
        <w:ind w:end="0"/>
        <w:rPr/>
      </w:pPr>
      <w:r>
        <w:rPr/>
      </w:r>
    </w:p>
    <w:p>
      <w:pPr>
        <w:pStyle w:val="BodyText"/>
        <w:spacing w:before="0" w:after="0"/>
        <w:ind w:end="0"/>
        <w:rPr/>
      </w:pPr>
      <w:r>
        <w:rPr/>
        <w:t>EPSA’s members, operating the cleanest generating plants in the world, recognize California’s unique air quality challenges and have consistently met or exceeded its stringent environmental requirements.  These companies have proposed a large number of plants that would meet California’s environmental performance needs while supporting its electricity demand growth.</w:t>
      </w:r>
    </w:p>
    <w:p>
      <w:pPr>
        <w:pStyle w:val="BodyText"/>
        <w:spacing w:before="0" w:after="0"/>
        <w:ind w:end="0"/>
        <w:rPr/>
      </w:pPr>
      <w:r>
        <w:rPr/>
      </w:r>
    </w:p>
    <w:p>
      <w:pPr>
        <w:pStyle w:val="BodyText"/>
        <w:spacing w:before="0" w:after="0"/>
        <w:ind w:end="0"/>
        <w:rPr/>
      </w:pPr>
      <w:r>
        <w:rPr/>
      </w:r>
    </w:p>
    <w:p>
      <w:pPr>
        <w:pStyle w:val="BodyText"/>
        <w:spacing w:before="0" w:after="0"/>
        <w:ind w:end="0"/>
        <w:rPr/>
      </w:pPr>
      <w:r>
        <w:rPr/>
      </w:r>
    </w:p>
    <w:p>
      <w:pPr>
        <w:pStyle w:val="BodyText"/>
        <w:spacing w:before="0" w:after="0"/>
        <w:ind w:end="0"/>
        <w:rPr/>
      </w:pPr>
      <w:r>
        <w:rPr/>
        <w:t>Again, these plants’ environmental regulatory requirements only become an electricity supply concern when they compound the financial risks and uncertainties currently characterizing the California market.  Companies that believe that they will be unable to recover their investment will be unavailable to serve demand.  Ultimately, it is not regulatory stringency, but uncertainty that will affect the pace at which capacity can be added in California.</w:t>
      </w:r>
    </w:p>
    <w:p>
      <w:pPr>
        <w:pStyle w:val="BodyText"/>
        <w:spacing w:before="0" w:after="0"/>
        <w:ind w:end="0"/>
        <w:rPr/>
      </w:pPr>
      <w:r>
        <w:rPr/>
      </w:r>
    </w:p>
    <w:p>
      <w:pPr>
        <w:pStyle w:val="Normal"/>
        <w:rPr>
          <w:rFonts w:ascii="Arial" w:hAnsi="Arial" w:cs="Arial"/>
          <w:sz w:val="24"/>
        </w:rPr>
      </w:pPr>
      <w:r>
        <w:rPr>
          <w:rFonts w:cs="Arial" w:ascii="Arial" w:hAnsi="Arial"/>
          <w:sz w:val="24"/>
        </w:rPr>
        <w:t>Thank you again for your interest in these important issues.  Please don’t hesitate to contact us with further questions or for additional information.</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Sincerely yours,</w:t>
      </w:r>
    </w:p>
    <w:p>
      <w:pPr>
        <w:pStyle w:val="Normal"/>
        <w:rPr>
          <w:rFonts w:ascii="Arial" w:hAnsi="Arial" w:cs="Arial"/>
          <w:sz w:val="36"/>
        </w:rPr>
      </w:pPr>
      <w:r>
        <w:rPr>
          <w:rFonts w:cs="Arial" w:ascii="Arial" w:hAnsi="Arial"/>
          <w:sz w:val="36"/>
        </w:rPr>
      </w:r>
    </w:p>
    <w:p>
      <w:pPr>
        <w:pStyle w:val="Heading1"/>
        <w:ind w:end="0"/>
        <w:rPr>
          <w:sz w:val="36"/>
        </w:rPr>
      </w:pPr>
      <w:r>
        <w:rPr>
          <w:sz w:val="36"/>
        </w:rPr>
        <w:t>DRAFT</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Lynne H. Church</w:t>
      </w:r>
    </w:p>
    <w:p>
      <w:pPr>
        <w:pStyle w:val="Heading7"/>
        <w:ind w:end="0"/>
        <w:rPr/>
      </w:pPr>
      <w:r>
        <w:rPr/>
        <w:t>President</w:t>
      </w:r>
    </w:p>
    <w:p>
      <w:pPr>
        <w:pStyle w:val="Normal"/>
        <w:tabs>
          <w:tab w:val="clear" w:pos="720"/>
          <w:tab w:val="left" w:pos="9360" w:leader="none"/>
        </w:tabs>
        <w:rPr>
          <w:rFonts w:ascii="Arial" w:hAnsi="Arial" w:cs="Arial"/>
          <w:sz w:val="24"/>
        </w:rPr>
      </w:pPr>
      <w:r>
        <w:rPr>
          <w:rFonts w:cs="Arial" w:ascii="Arial" w:hAnsi="Arial"/>
          <w:sz w:val="24"/>
        </w:rPr>
      </w:r>
    </w:p>
    <w:sectPr>
      <w:footerReference w:type="default" r:id="rId3"/>
      <w:footerReference w:type="first" r:id="rId4"/>
      <w:type w:val="nextPage"/>
      <w:pgSz w:w="12240" w:h="15840"/>
      <w:pgMar w:left="1728" w:right="990" w:gutter="0" w:header="0" w:top="720" w:footer="72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Zurich BT">
    <w:altName w:val="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page">
                <wp:posOffset>4115435</wp:posOffset>
              </wp:positionH>
              <wp:positionV relativeFrom="paragraph">
                <wp:posOffset>-31115</wp:posOffset>
              </wp:positionV>
              <wp:extent cx="78105" cy="160655"/>
              <wp:effectExtent l="0" t="0" r="0" b="0"/>
              <wp:wrapSquare wrapText="bothSides"/>
              <wp:docPr id="2" name="Frame1"/>
              <a:graphic xmlns:a="http://schemas.openxmlformats.org/drawingml/2006/main">
                <a:graphicData uri="http://schemas.microsoft.com/office/word/2010/wordprocessingShape">
                  <wps:wsp>
                    <wps:cNvSpPr txBox="1"/>
                    <wps:spPr>
                      <a:xfrm>
                        <a:off x="0" y="0"/>
                        <a:ext cx="78105" cy="160655"/>
                      </a:xfrm>
                      <a:prstGeom prst="rect"/>
                      <a:solidFill>
                        <a:srgbClr val="FFFFFF">
                          <a:alpha val="0"/>
                        </a:srgbClr>
                      </a:solidFill>
                    </wps:spPr>
                    <wps:txbx>
                      <w:txbxContent>
                        <w:p>
                          <w:pPr>
                            <w:pStyle w:val="Footer"/>
                            <w:rPr>
                              <w:rStyle w:val="PageNumber"/>
                              <w:rFonts w:ascii="Arial" w:hAnsi="Arial" w:cs="Arial"/>
                              <w:sz w:val="22"/>
                            </w:rPr>
                          </w:pP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5</w:t>
                          </w:r>
                          <w:r>
                            <w:rPr>
                              <w:rStyle w:val="PageNumber"/>
                              <w:sz w:val="22"/>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6.15pt;height:12.65pt;mso-wrap-distance-left:0pt;mso-wrap-distance-right:0pt;mso-wrap-distance-top:0pt;mso-wrap-distance-bottom:0pt;margin-top:-2.45pt;mso-position-vertical-relative:text;margin-left:324.05pt;mso-position-horizontal-relative:page">
              <v:fill opacity="0f"/>
              <v:textbox inset="0in,0in,0in,0in">
                <w:txbxContent>
                  <w:p>
                    <w:pPr>
                      <w:pStyle w:val="Footer"/>
                      <w:rPr>
                        <w:rStyle w:val="PageNumber"/>
                        <w:rFonts w:ascii="Arial" w:hAnsi="Arial" w:cs="Arial"/>
                        <w:sz w:val="22"/>
                      </w:rPr>
                    </w:pP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5</w:t>
                    </w:r>
                    <w:r>
                      <w:rPr>
                        <w:rStyle w:val="PageNumber"/>
                        <w:sz w:val="22"/>
                        <w:rFonts w:cs="Arial" w:ascii="Arial" w:hAnsi="Arial"/>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0" w:end="-486"/>
      <w:outlineLvl w:val="0"/>
    </w:pPr>
    <w:rPr>
      <w:rFonts w:ascii="Arial" w:hAnsi="Arial" w:cs="Arial"/>
      <w:b/>
      <w:i/>
      <w:sz w:val="24"/>
    </w:rPr>
  </w:style>
  <w:style w:type="paragraph" w:styleId="Heading2">
    <w:name w:val="heading 2"/>
    <w:basedOn w:val="Normal"/>
    <w:next w:val="Normal"/>
    <w:qFormat/>
    <w:pPr>
      <w:keepNext w:val="true"/>
      <w:numPr>
        <w:ilvl w:val="1"/>
        <w:numId w:val="1"/>
      </w:numPr>
      <w:outlineLvl w:val="1"/>
    </w:pPr>
    <w:rPr>
      <w:sz w:val="24"/>
      <w:u w:val="single"/>
    </w:rPr>
  </w:style>
  <w:style w:type="paragraph" w:styleId="Heading3">
    <w:name w:val="heading 3"/>
    <w:basedOn w:val="Normal"/>
    <w:next w:val="Normal"/>
    <w:qFormat/>
    <w:pPr>
      <w:keepNext w:val="true"/>
      <w:numPr>
        <w:ilvl w:val="2"/>
        <w:numId w:val="1"/>
      </w:numPr>
      <w:outlineLvl w:val="2"/>
    </w:pPr>
    <w:rPr>
      <w:b/>
      <w:sz w:val="24"/>
    </w:rPr>
  </w:style>
  <w:style w:type="paragraph" w:styleId="Heading4">
    <w:name w:val="heading 4"/>
    <w:basedOn w:val="Normal"/>
    <w:next w:val="Normal"/>
    <w:qFormat/>
    <w:pPr>
      <w:keepNext w:val="true"/>
      <w:numPr>
        <w:ilvl w:val="3"/>
        <w:numId w:val="1"/>
      </w:numPr>
      <w:outlineLvl w:val="3"/>
    </w:pPr>
    <w:rPr>
      <w:rFonts w:ascii="Arial" w:hAnsi="Arial" w:cs="Arial"/>
      <w:b/>
      <w:i/>
      <w:sz w:val="24"/>
      <w:lang w:eastAsia="en-US"/>
    </w:rPr>
  </w:style>
  <w:style w:type="paragraph" w:styleId="Heading5">
    <w:name w:val="heading 5"/>
    <w:basedOn w:val="Normal"/>
    <w:next w:val="Normal"/>
    <w:qFormat/>
    <w:pPr>
      <w:keepNext w:val="true"/>
      <w:numPr>
        <w:ilvl w:val="4"/>
        <w:numId w:val="1"/>
      </w:numPr>
      <w:spacing w:before="0" w:after="120"/>
      <w:ind w:hanging="0" w:start="0" w:end="162"/>
      <w:outlineLvl w:val="4"/>
    </w:pPr>
    <w:rPr>
      <w:rFonts w:ascii="Arial" w:hAnsi="Arial" w:cs="Arial"/>
      <w:b/>
      <w:i/>
      <w:sz w:val="24"/>
    </w:rPr>
  </w:style>
  <w:style w:type="paragraph" w:styleId="Heading6">
    <w:name w:val="heading 6"/>
    <w:basedOn w:val="Normal"/>
    <w:next w:val="Normal"/>
    <w:qFormat/>
    <w:pPr>
      <w:keepNext w:val="true"/>
      <w:numPr>
        <w:ilvl w:val="5"/>
        <w:numId w:val="1"/>
      </w:numPr>
      <w:tabs>
        <w:tab w:val="clear" w:pos="720"/>
        <w:tab w:val="left" w:pos="9000" w:leader="none"/>
      </w:tabs>
      <w:ind w:hanging="0" w:start="0" w:end="522"/>
      <w:outlineLvl w:val="5"/>
    </w:pPr>
    <w:rPr>
      <w:rFonts w:ascii="Arial" w:hAnsi="Arial" w:cs="Arial"/>
      <w:sz w:val="24"/>
    </w:rPr>
  </w:style>
  <w:style w:type="paragraph" w:styleId="Heading7">
    <w:name w:val="heading 7"/>
    <w:basedOn w:val="Normal"/>
    <w:next w:val="Normal"/>
    <w:qFormat/>
    <w:pPr>
      <w:keepNext w:val="true"/>
      <w:numPr>
        <w:ilvl w:val="6"/>
        <w:numId w:val="1"/>
      </w:numPr>
      <w:ind w:hanging="0" w:start="0" w:end="-720"/>
      <w:outlineLvl w:val="6"/>
    </w:pPr>
    <w:rPr>
      <w:rFonts w:ascii="Arial" w:hAnsi="Arial" w:cs="Arial"/>
      <w:sz w:val="24"/>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jc w:val="center"/>
    </w:pPr>
    <w:rPr>
      <w:sz w:val="24"/>
    </w:rPr>
  </w:style>
  <w:style w:type="paragraph" w:styleId="BodyText">
    <w:name w:val="Body Text"/>
    <w:basedOn w:val="Normal"/>
    <w:pPr>
      <w:spacing w:before="0" w:after="240"/>
      <w:ind w:hanging="0" w:start="0" w:end="-486"/>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widowControl w:val="false"/>
    </w:pPr>
    <w:rPr>
      <w:rFonts w:ascii="Arial" w:hAnsi="Arial" w:cs="Arial"/>
      <w:sz w:val="24"/>
    </w:rPr>
  </w:style>
  <w:style w:type="paragraph" w:styleId="BodyTextIndent">
    <w:name w:val="Body Text Indent"/>
    <w:basedOn w:val="Normal"/>
    <w:pPr>
      <w:ind w:firstLine="360" w:start="0" w:end="0"/>
    </w:pPr>
    <w:rPr>
      <w:sz w:val="24"/>
    </w:rPr>
  </w:style>
  <w:style w:type="paragraph" w:styleId="BodyTextIndent2">
    <w:name w:val="Body Text Indent 2"/>
    <w:basedOn w:val="Normal"/>
    <w:qFormat/>
    <w:pPr>
      <w:ind w:firstLine="720" w:start="0" w:end="0"/>
    </w:pPr>
    <w:rPr>
      <w:rFonts w:ascii="Arial" w:hAnsi="Arial" w:cs="Arial"/>
      <w:sz w:val="24"/>
    </w:rPr>
  </w:style>
  <w:style w:type="paragraph" w:styleId="BodyText2">
    <w:name w:val="Body Text 2"/>
    <w:basedOn w:val="Normal"/>
    <w:qFormat/>
    <w:pPr>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EPSA Environmental Memo logo.dot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2001-03-21T20:34:00Z</dcterms:created>
  <dc:creator>EPSA</dc:creator>
  <dc:description/>
  <dc:language>en-CA</dc:language>
  <cp:lastModifiedBy>EPSA Staff</cp:lastModifiedBy>
  <cp:lastPrinted>2001-03-21T17:47:00Z</cp:lastPrinted>
  <dcterms:modified xsi:type="dcterms:W3CDTF">2001-03-21T20:34:00Z</dcterms:modified>
  <cp:revision>2</cp:revision>
  <dc:subject/>
  <dc:title>						 	1401 H Street, NW</dc:title>
</cp:coreProperties>
</file>