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jc w:val="center"/>
        <w:rPr/>
      </w:pPr>
      <w:r>
        <w:rPr/>
        <w:t>Overview</w:t>
      </w:r>
    </w:p>
    <w:p>
      <w:pPr>
        <w:pStyle w:val="Subtitle"/>
        <w:jc w:val="center"/>
        <w:rPr>
          <w:sz w:val="22"/>
        </w:rPr>
      </w:pPr>
      <w:r>
        <w:rPr>
          <w:sz w:val="22"/>
        </w:rPr>
      </w:r>
    </w:p>
    <w:p>
      <w:pPr>
        <w:pStyle w:val="Normal"/>
        <w:numPr>
          <w:ilvl w:val="0"/>
          <w:numId w:val="9"/>
        </w:numPr>
        <w:jc w:val="both"/>
        <w:rPr>
          <w:sz w:val="22"/>
          <w:u w:val="single"/>
        </w:rPr>
      </w:pPr>
      <w:r>
        <w:rPr>
          <w:sz w:val="22"/>
        </w:rPr>
        <w:t xml:space="preserve">Natural gas prices in California, as throughout the country, have soared over the past year  </w:t>
      </w:r>
    </w:p>
    <w:p>
      <w:pPr>
        <w:pStyle w:val="Normal"/>
        <w:ind w:firstLine="288" w:start="-72" w:end="0"/>
        <w:jc w:val="both"/>
        <w:rPr>
          <w:sz w:val="22"/>
          <w:u w:val="single"/>
        </w:rPr>
      </w:pPr>
      <w:r>
        <w:rPr>
          <w:sz w:val="22"/>
        </w:rPr>
        <w:t xml:space="preserve"> </w:t>
      </w:r>
      <w:r>
        <w:rPr>
          <w:sz w:val="22"/>
        </w:rPr>
        <w:t>basically as a result of supply and demand.</w:t>
      </w:r>
    </w:p>
    <w:p>
      <w:pPr>
        <w:pStyle w:val="Normal"/>
        <w:ind w:firstLine="285" w:start="-72" w:end="0"/>
        <w:rPr>
          <w:sz w:val="22"/>
          <w:u w:val="single"/>
        </w:rPr>
      </w:pPr>
      <w:r>
        <w:rPr>
          <w:sz w:val="22"/>
          <w:u w:val="single"/>
        </w:rPr>
      </w:r>
    </w:p>
    <w:p>
      <w:pPr>
        <w:pStyle w:val="Normal"/>
        <w:numPr>
          <w:ilvl w:val="0"/>
          <w:numId w:val="9"/>
        </w:numPr>
        <w:rPr>
          <w:sz w:val="22"/>
        </w:rPr>
      </w:pPr>
      <w:r>
        <w:rPr>
          <w:sz w:val="22"/>
        </w:rPr>
        <w:t xml:space="preserve">The primary reasons that prices in California are so high (relative to other markets) are (1)   </w:t>
      </w:r>
    </w:p>
    <w:p>
      <w:pPr>
        <w:pStyle w:val="Normal"/>
        <w:ind w:start="336" w:end="0"/>
        <w:rPr>
          <w:sz w:val="22"/>
        </w:rPr>
      </w:pPr>
      <w:r>
        <w:rPr>
          <w:sz w:val="22"/>
        </w:rPr>
        <w:t>natural gas interstate pipelines into California are operating at full capacity; (2) intrastate pipeline capacity is limited and is less than interstate capacity (thereby limiting the amout of gas that can be delivered into the state regardless of the level of interstate capacity) and (3) demand continues to increase.</w:t>
      </w:r>
    </w:p>
    <w:p>
      <w:pPr>
        <w:pStyle w:val="Normal"/>
        <w:ind w:start="-72" w:end="0"/>
        <w:rPr>
          <w:sz w:val="22"/>
        </w:rPr>
      </w:pPr>
      <w:r>
        <w:rPr>
          <w:sz w:val="22"/>
        </w:rPr>
      </w:r>
    </w:p>
    <w:p>
      <w:pPr>
        <w:pStyle w:val="Normal"/>
        <w:numPr>
          <w:ilvl w:val="0"/>
          <w:numId w:val="9"/>
        </w:numPr>
        <w:rPr>
          <w:sz w:val="22"/>
        </w:rPr>
      </w:pPr>
      <w:r>
        <w:rPr>
          <w:sz w:val="22"/>
        </w:rPr>
        <w:t xml:space="preserve">Parties are arguing that large basis differentials indicate a failed market.  Nothing is further  </w:t>
      </w:r>
    </w:p>
    <w:p>
      <w:pPr>
        <w:pStyle w:val="Normal"/>
        <w:ind w:start="-72" w:end="0"/>
        <w:rPr>
          <w:sz w:val="22"/>
        </w:rPr>
      </w:pPr>
      <w:r>
        <w:rPr>
          <w:sz w:val="22"/>
        </w:rPr>
        <w:t xml:space="preserve">      </w:t>
      </w:r>
      <w:r>
        <w:rPr>
          <w:sz w:val="22"/>
        </w:rPr>
        <w:t xml:space="preserve">from the truth.  When transportation capacity is fully utilized, the basis differential should    </w:t>
      </w:r>
    </w:p>
    <w:p>
      <w:pPr>
        <w:pStyle w:val="Normal"/>
        <w:ind w:start="-72" w:end="0"/>
        <w:rPr>
          <w:sz w:val="22"/>
        </w:rPr>
      </w:pPr>
      <w:r>
        <w:rPr>
          <w:sz w:val="22"/>
        </w:rPr>
        <w:t xml:space="preserve">      </w:t>
      </w:r>
      <w:r>
        <w:rPr>
          <w:sz w:val="22"/>
        </w:rPr>
        <w:t xml:space="preserve">increase to signal the need for more pipeline capacity (basis differential = difference between </w:t>
      </w:r>
    </w:p>
    <w:p>
      <w:pPr>
        <w:pStyle w:val="Normal"/>
        <w:rPr>
          <w:sz w:val="22"/>
        </w:rPr>
      </w:pPr>
      <w:r>
        <w:rPr>
          <w:sz w:val="22"/>
        </w:rPr>
        <w:t xml:space="preserve">     </w:t>
      </w:r>
      <w:r>
        <w:rPr>
          <w:sz w:val="22"/>
        </w:rPr>
        <w:t xml:space="preserve">the price in the production area and the price in market area).  Pipeline capacity is expanding.         </w:t>
      </w:r>
    </w:p>
    <w:p>
      <w:pPr>
        <w:pStyle w:val="Normal"/>
        <w:rPr>
          <w:sz w:val="22"/>
        </w:rPr>
      </w:pPr>
      <w:r>
        <w:rPr>
          <w:sz w:val="22"/>
        </w:rPr>
        <w:t xml:space="preserve">     </w:t>
      </w:r>
      <w:r>
        <w:rPr>
          <w:sz w:val="22"/>
        </w:rPr>
        <w:t xml:space="preserve">The market is working.  For much of the last 5 years, the basis differential into California was    </w:t>
      </w:r>
    </w:p>
    <w:p>
      <w:pPr>
        <w:pStyle w:val="Normal"/>
        <w:rPr>
          <w:sz w:val="22"/>
        </w:rPr>
      </w:pPr>
      <w:r>
        <w:rPr>
          <w:sz w:val="22"/>
        </w:rPr>
        <w:t xml:space="preserve">     </w:t>
      </w:r>
      <w:r>
        <w:rPr>
          <w:sz w:val="22"/>
        </w:rPr>
        <w:t>negative.</w:t>
      </w:r>
    </w:p>
    <w:p>
      <w:pPr>
        <w:pStyle w:val="Normal"/>
        <w:ind w:firstLine="60" w:start="-72" w:end="0"/>
        <w:rPr>
          <w:sz w:val="22"/>
        </w:rPr>
      </w:pPr>
      <w:r>
        <w:rPr>
          <w:sz w:val="22"/>
        </w:rPr>
      </w:r>
    </w:p>
    <w:p>
      <w:pPr>
        <w:pStyle w:val="Heading5"/>
        <w:numPr>
          <w:ilvl w:val="0"/>
          <w:numId w:val="9"/>
        </w:numPr>
        <w:rPr>
          <w:sz w:val="22"/>
          <w:u w:val="none"/>
        </w:rPr>
      </w:pPr>
      <w:r>
        <w:rPr>
          <w:b w:val="false"/>
          <w:bCs w:val="false"/>
          <w:sz w:val="22"/>
          <w:u w:val="none"/>
        </w:rPr>
        <w:t xml:space="preserve">The right policy response is to let the market continue to work.  Taking actions that artificially </w:t>
      </w:r>
    </w:p>
    <w:p>
      <w:pPr>
        <w:pStyle w:val="Heading5"/>
        <w:ind w:firstLine="72" w:start="-72" w:end="0"/>
        <w:rPr>
          <w:sz w:val="22"/>
          <w:u w:val="none"/>
        </w:rPr>
      </w:pPr>
      <w:r>
        <w:rPr>
          <w:b w:val="false"/>
          <w:bCs w:val="false"/>
          <w:sz w:val="22"/>
          <w:u w:val="none"/>
        </w:rPr>
        <w:t xml:space="preserve">     </w:t>
      </w:r>
      <w:r>
        <w:rPr>
          <w:b w:val="false"/>
          <w:bCs w:val="false"/>
          <w:sz w:val="22"/>
          <w:u w:val="none"/>
        </w:rPr>
        <w:t>regulate the market will be counterproductive.</w:t>
      </w:r>
    </w:p>
    <w:p>
      <w:pPr>
        <w:pStyle w:val="Heading3"/>
        <w:ind w:hanging="0" w:start="0"/>
        <w:jc w:val="center"/>
        <w:rPr>
          <w:b w:val="false"/>
          <w:bCs w:val="false"/>
          <w:i w:val="false"/>
          <w:i w:val="false"/>
          <w:iCs w:val="false"/>
          <w:sz w:val="22"/>
          <w:u w:val="single"/>
        </w:rPr>
      </w:pPr>
      <w:r>
        <w:rPr>
          <w:b w:val="false"/>
          <w:bCs w:val="false"/>
          <w:i w:val="false"/>
          <w:iCs w:val="false"/>
          <w:sz w:val="22"/>
          <w:u w:val="single"/>
        </w:rPr>
      </w:r>
    </w:p>
    <w:p>
      <w:pPr>
        <w:pStyle w:val="Normal"/>
        <w:jc w:val="center"/>
        <w:rPr>
          <w:b/>
          <w:bCs/>
          <w:sz w:val="22"/>
          <w:u w:val="single"/>
        </w:rPr>
      </w:pPr>
      <w:r>
        <w:rPr>
          <w:b/>
          <w:bCs/>
          <w:sz w:val="22"/>
          <w:u w:val="single"/>
        </w:rPr>
        <w:t>Natural Gas Demand in California</w:t>
      </w:r>
    </w:p>
    <w:p>
      <w:pPr>
        <w:pStyle w:val="Normal"/>
        <w:rPr>
          <w:b/>
          <w:bCs/>
          <w:sz w:val="22"/>
          <w:u w:val="single"/>
        </w:rPr>
      </w:pPr>
      <w:r>
        <w:rPr>
          <w:b/>
          <w:bCs/>
          <w:sz w:val="22"/>
          <w:u w:val="single"/>
        </w:rPr>
      </w:r>
    </w:p>
    <w:p>
      <w:pPr>
        <w:pStyle w:val="Normal"/>
        <w:rPr>
          <w:b/>
          <w:bCs/>
          <w:sz w:val="22"/>
        </w:rPr>
      </w:pPr>
      <w:r>
        <w:rPr>
          <w:sz w:val="22"/>
        </w:rPr>
        <w:t>The State’s demand for natural gas has grown by approximately 4.2 percent per year since 1995 to 2,360 Bcf in 2000 (Energy and Environmental Analysis, Inc., Monthly Gas Update, April 2001), and demand is projected to continue to increase:</w:t>
      </w:r>
    </w:p>
    <w:p>
      <w:pPr>
        <w:pStyle w:val="Normal"/>
        <w:rPr>
          <w:b/>
          <w:bCs/>
          <w:sz w:val="22"/>
        </w:rPr>
      </w:pPr>
      <w:r>
        <w:rPr>
          <w:b/>
          <w:bCs/>
          <w:sz w:val="22"/>
        </w:rPr>
      </w:r>
    </w:p>
    <w:p>
      <w:pPr>
        <w:pStyle w:val="Normal"/>
        <w:jc w:val="center"/>
        <w:rPr>
          <w:sz w:val="22"/>
        </w:rPr>
      </w:pPr>
      <w:r>
        <w:rPr>
          <w:sz w:val="22"/>
        </w:rPr>
        <w:object w:dxaOrig="8011" w:dyaOrig="38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7.9pt;height:158.35pt" filled="f" o:ole="">
            <v:imagedata r:id="rId3" o:title=""/>
          </v:shape>
          <o:OLEObject Type="Embed" ProgID="" ShapeID="ole_rId2" DrawAspect="Content" ObjectID="_1930165588" r:id="rId2"/>
        </w:object>
      </w:r>
    </w:p>
    <w:p>
      <w:pPr>
        <w:pStyle w:val="Normal"/>
        <w:jc w:val="center"/>
        <w:rPr>
          <w:sz w:val="16"/>
        </w:rPr>
      </w:pPr>
      <w:r>
        <w:rPr>
          <w:sz w:val="16"/>
        </w:rPr>
        <w:t>Source: CEC Staff Report, “California Natural Gas Analysis and Issues,” November 2000.</w:t>
      </w:r>
    </w:p>
    <w:p>
      <w:pPr>
        <w:pStyle w:val="Normal"/>
        <w:rPr>
          <w:b/>
          <w:bCs/>
          <w:sz w:val="16"/>
        </w:rPr>
      </w:pPr>
      <w:r>
        <w:rPr>
          <w:b/>
          <w:bCs/>
          <w:sz w:val="16"/>
        </w:rPr>
      </w:r>
    </w:p>
    <w:p>
      <w:pPr>
        <w:pStyle w:val="Normal"/>
        <w:rPr>
          <w:b/>
          <w:bCs/>
        </w:rPr>
      </w:pPr>
      <w:r>
        <w:rPr>
          <w:b/>
          <w:bCs/>
        </w:rPr>
      </w:r>
    </w:p>
    <w:p>
      <w:pPr>
        <w:pStyle w:val="Normal"/>
        <w:keepNext w:val="true"/>
        <w:jc w:val="center"/>
        <w:rPr>
          <w:b/>
          <w:bCs/>
          <w:u w:val="single"/>
        </w:rPr>
      </w:pPr>
      <w:r>
        <w:rPr>
          <w:b/>
          <w:bCs/>
          <w:u w:val="single"/>
        </w:rPr>
        <w:t>Factors That Have Increased Natural Gas Demand</w:t>
      </w:r>
    </w:p>
    <w:p>
      <w:pPr>
        <w:pStyle w:val="Normal"/>
        <w:keepNext w:val="true"/>
        <w:jc w:val="center"/>
        <w:rPr>
          <w:b/>
          <w:bCs/>
          <w:sz w:val="22"/>
          <w:u w:val="single"/>
        </w:rPr>
      </w:pPr>
      <w:r>
        <w:rPr>
          <w:b/>
          <w:bCs/>
          <w:sz w:val="22"/>
          <w:u w:val="single"/>
        </w:rPr>
      </w:r>
    </w:p>
    <w:p>
      <w:pPr>
        <w:pStyle w:val="Normal"/>
        <w:rPr>
          <w:b/>
          <w:bCs/>
          <w:sz w:val="22"/>
        </w:rPr>
      </w:pPr>
      <w:r>
        <w:rPr>
          <w:b/>
          <w:bCs/>
          <w:sz w:val="22"/>
        </w:rPr>
        <w:t>Low hydro supplies</w:t>
      </w:r>
    </w:p>
    <w:p>
      <w:pPr>
        <w:pStyle w:val="Normal"/>
        <w:ind w:start="144" w:end="0"/>
        <w:rPr>
          <w:b/>
          <w:bCs/>
          <w:sz w:val="22"/>
        </w:rPr>
      </w:pPr>
      <w:r>
        <w:rPr>
          <w:b/>
          <w:bCs/>
          <w:sz w:val="22"/>
        </w:rPr>
      </w:r>
    </w:p>
    <w:p>
      <w:pPr>
        <w:pStyle w:val="Normal"/>
        <w:numPr>
          <w:ilvl w:val="0"/>
          <w:numId w:val="5"/>
        </w:numPr>
        <w:rPr>
          <w:sz w:val="22"/>
        </w:rPr>
      </w:pPr>
      <w:r>
        <w:rPr>
          <w:sz w:val="22"/>
        </w:rPr>
        <w:t>Hydropower is used for approximately one-fourth of the state’s installed capacity.</w:t>
      </w:r>
    </w:p>
    <w:p>
      <w:pPr>
        <w:pStyle w:val="Normal"/>
        <w:ind w:start="144" w:end="0"/>
        <w:rPr>
          <w:sz w:val="22"/>
        </w:rPr>
      </w:pPr>
      <w:r>
        <w:rPr>
          <w:sz w:val="22"/>
        </w:rPr>
      </w:r>
    </w:p>
    <w:p>
      <w:pPr>
        <w:pStyle w:val="Normal"/>
        <w:numPr>
          <w:ilvl w:val="0"/>
          <w:numId w:val="5"/>
        </w:numPr>
        <w:rPr>
          <w:sz w:val="22"/>
        </w:rPr>
      </w:pPr>
      <w:r>
        <w:rPr>
          <w:sz w:val="22"/>
        </w:rPr>
        <w:t>Dryer than normal weather in the Pacific Northwest last year resulted in a decreased supply of hydroelectric energy.  As a result, electricity imports from the Pacific Northwest to California declined to 31 TWh from a five-year average of 46 TWh (Energy and Environmental Analysis, Inc., Monthly Gas Update, April 2001).</w:t>
      </w:r>
    </w:p>
    <w:p>
      <w:pPr>
        <w:pStyle w:val="Normal"/>
        <w:rPr>
          <w:sz w:val="22"/>
        </w:rPr>
      </w:pPr>
      <w:r>
        <w:rPr>
          <w:sz w:val="22"/>
        </w:rPr>
      </w:r>
    </w:p>
    <w:p>
      <w:pPr>
        <w:pStyle w:val="Normal"/>
        <w:numPr>
          <w:ilvl w:val="0"/>
          <w:numId w:val="5"/>
        </w:numPr>
        <w:rPr>
          <w:sz w:val="22"/>
        </w:rPr>
      </w:pPr>
      <w:r>
        <w:rPr>
          <w:sz w:val="22"/>
        </w:rPr>
        <w:t>Water and stream levels are at their lowest in the Pacific Northwest in 50 years (NERC, 2001 Summer Special Assessment, 5/01).</w:t>
      </w:r>
    </w:p>
    <w:p>
      <w:pPr>
        <w:pStyle w:val="Normal"/>
        <w:ind w:start="144" w:end="0"/>
        <w:rPr>
          <w:sz w:val="22"/>
        </w:rPr>
      </w:pPr>
      <w:r>
        <w:rPr>
          <w:sz w:val="22"/>
        </w:rPr>
      </w:r>
    </w:p>
    <w:p>
      <w:pPr>
        <w:pStyle w:val="Normal"/>
        <w:numPr>
          <w:ilvl w:val="0"/>
          <w:numId w:val="5"/>
        </w:numPr>
        <w:rPr>
          <w:sz w:val="22"/>
        </w:rPr>
      </w:pPr>
      <w:r>
        <w:rPr>
          <w:sz w:val="22"/>
        </w:rPr>
        <w:t>Hydroelectric generation in 2001 is expected to be at its lowest level since 1994 when it was at 75% of normal. (CERA Monthly Briefing, Western Energy, 3/26/01)</w:t>
      </w:r>
    </w:p>
    <w:p>
      <w:pPr>
        <w:pStyle w:val="BodyText2"/>
        <w:rPr>
          <w:i/>
          <w:i/>
          <w:iCs/>
          <w:sz w:val="22"/>
          <w:u w:val="single"/>
        </w:rPr>
      </w:pPr>
      <w:r>
        <w:rPr>
          <w:i/>
          <w:iCs/>
          <w:sz w:val="22"/>
          <w:u w:val="single"/>
        </w:rPr>
      </w:r>
    </w:p>
    <w:p>
      <w:pPr>
        <w:pStyle w:val="Normal"/>
        <w:rPr>
          <w:b/>
          <w:bCs/>
          <w:sz w:val="22"/>
        </w:rPr>
      </w:pPr>
      <w:r>
        <w:rPr>
          <w:b/>
          <w:bCs/>
          <w:sz w:val="22"/>
        </w:rPr>
        <w:t>Weather</w:t>
      </w:r>
    </w:p>
    <w:p>
      <w:pPr>
        <w:pStyle w:val="Normal"/>
        <w:rPr>
          <w:b/>
          <w:bCs/>
          <w:sz w:val="22"/>
        </w:rPr>
      </w:pPr>
      <w:r>
        <w:rPr>
          <w:b/>
          <w:bCs/>
          <w:sz w:val="22"/>
        </w:rPr>
      </w:r>
    </w:p>
    <w:p>
      <w:pPr>
        <w:pStyle w:val="Normal"/>
        <w:numPr>
          <w:ilvl w:val="0"/>
          <w:numId w:val="2"/>
        </w:numPr>
        <w:rPr>
          <w:i/>
          <w:i/>
          <w:iCs/>
          <w:sz w:val="22"/>
          <w:u w:val="single"/>
        </w:rPr>
      </w:pPr>
      <w:r>
        <w:rPr>
          <w:sz w:val="22"/>
        </w:rPr>
        <w:t>During summer 2000 unusually high cooling requirements fueled strong electricity demand in California, thereby increasing the demand for natural gas. In November, cool weather, coupled with unplanned outages, caused a spike in electricity demand, further depleting natural gas storage levels.  In December, cold weather and energy outages continued to drain stock (U.S. Natural Gas Markets: Recent Trends and Prospects for the Future, EIA, May 2001).</w:t>
      </w:r>
    </w:p>
    <w:p>
      <w:pPr>
        <w:pStyle w:val="Normal"/>
        <w:rPr>
          <w:i/>
          <w:i/>
          <w:iCs/>
          <w:sz w:val="22"/>
          <w:u w:val="single"/>
        </w:rPr>
      </w:pPr>
      <w:r>
        <w:rPr>
          <w:i/>
          <w:iCs/>
          <w:sz w:val="22"/>
          <w:u w:val="single"/>
        </w:rPr>
      </w:r>
    </w:p>
    <w:p>
      <w:pPr>
        <w:pStyle w:val="Normal"/>
        <w:keepNext w:val="true"/>
        <w:rPr>
          <w:b/>
          <w:bCs/>
          <w:sz w:val="22"/>
        </w:rPr>
      </w:pPr>
      <w:r>
        <w:rPr>
          <w:b/>
          <w:bCs/>
          <w:sz w:val="22"/>
        </w:rPr>
        <w:t>Increase in gas-fired generation</w:t>
      </w:r>
    </w:p>
    <w:p>
      <w:pPr>
        <w:pStyle w:val="Normal"/>
        <w:keepNext w:val="true"/>
        <w:rPr>
          <w:b/>
          <w:bCs/>
          <w:sz w:val="22"/>
        </w:rPr>
      </w:pPr>
      <w:r>
        <w:rPr>
          <w:b/>
          <w:bCs/>
          <w:sz w:val="22"/>
        </w:rPr>
      </w:r>
    </w:p>
    <w:p>
      <w:pPr>
        <w:pStyle w:val="Normal"/>
        <w:numPr>
          <w:ilvl w:val="0"/>
          <w:numId w:val="6"/>
        </w:numPr>
        <w:rPr>
          <w:b/>
          <w:bCs/>
          <w:sz w:val="22"/>
        </w:rPr>
      </w:pPr>
      <w:r>
        <w:rPr>
          <w:sz w:val="22"/>
        </w:rPr>
        <w:t>Demand for natural gas has jumped as new gas-fired generation has come on-line and existing generation works overtime.  According to one analysis, gas demand last year for electricity generation sold to the grid was 700 Bcf, compared to a five-year average of 350 Bcf (Energy and Environmental Analysis, Inc., Monthly Gas Update, April 2001)</w:t>
      </w:r>
      <w:r>
        <w:rPr>
          <w:rStyle w:val="FootnoteCharacters"/>
          <w:rStyle w:val="FootnoteReference"/>
          <w:sz w:val="22"/>
        </w:rPr>
        <w:footnoteReference w:customMarkFollows="1" w:id="2"/>
        <w:t>*</w:t>
      </w:r>
      <w:r>
        <w:rPr>
          <w:sz w:val="22"/>
        </w:rPr>
        <w:t xml:space="preserve">. </w:t>
      </w:r>
    </w:p>
    <w:p>
      <w:pPr>
        <w:pStyle w:val="Normal"/>
        <w:ind w:start="144" w:end="0"/>
        <w:rPr>
          <w:b/>
          <w:bCs/>
          <w:i/>
          <w:i/>
          <w:iCs/>
          <w:sz w:val="22"/>
          <w:u w:val="single"/>
        </w:rPr>
      </w:pPr>
      <w:r>
        <w:rPr>
          <w:b/>
          <w:bCs/>
          <w:i/>
          <w:iCs/>
          <w:sz w:val="22"/>
          <w:u w:val="single"/>
        </w:rPr>
      </w:r>
    </w:p>
    <w:p>
      <w:pPr>
        <w:pStyle w:val="Normal"/>
        <w:rPr>
          <w:i/>
          <w:i/>
          <w:iCs/>
          <w:u w:val="single"/>
        </w:rPr>
      </w:pPr>
      <w:r>
        <w:rPr>
          <w:i/>
          <w:iCs/>
          <w:u w:val="single"/>
        </w:rPr>
      </w:r>
    </w:p>
    <w:p>
      <w:pPr>
        <w:pStyle w:val="BodyText2"/>
        <w:jc w:val="center"/>
        <w:rPr>
          <w:u w:val="single"/>
        </w:rPr>
      </w:pPr>
      <w:r>
        <w:rPr>
          <w:u w:val="single"/>
        </w:rPr>
        <w:t>Factors Limiting Natural Gas Supply</w:t>
      </w:r>
    </w:p>
    <w:p>
      <w:pPr>
        <w:pStyle w:val="BodyText2"/>
        <w:rPr>
          <w:b w:val="false"/>
          <w:bCs w:val="false"/>
          <w:sz w:val="22"/>
          <w:u w:val="single"/>
        </w:rPr>
      </w:pPr>
      <w:r>
        <w:rPr>
          <w:b w:val="false"/>
          <w:bCs w:val="false"/>
          <w:sz w:val="22"/>
          <w:u w:val="single"/>
        </w:rPr>
      </w:r>
    </w:p>
    <w:p>
      <w:pPr>
        <w:pStyle w:val="Heading1"/>
        <w:ind w:hanging="0" w:start="0"/>
        <w:rPr>
          <w:sz w:val="22"/>
        </w:rPr>
      </w:pPr>
      <w:r>
        <w:rPr>
          <w:sz w:val="22"/>
        </w:rPr>
        <w:t>Low Storage Levels</w:t>
      </w:r>
    </w:p>
    <w:p>
      <w:pPr>
        <w:pStyle w:val="Normal"/>
        <w:rPr>
          <w:sz w:val="22"/>
        </w:rPr>
      </w:pPr>
      <w:r>
        <w:rPr>
          <w:sz w:val="22"/>
        </w:rPr>
      </w:r>
    </w:p>
    <w:p>
      <w:pPr>
        <w:pStyle w:val="Normal"/>
        <w:numPr>
          <w:ilvl w:val="0"/>
          <w:numId w:val="2"/>
        </w:numPr>
        <w:rPr>
          <w:sz w:val="22"/>
        </w:rPr>
      </w:pPr>
      <w:r>
        <w:rPr>
          <w:sz w:val="22"/>
        </w:rPr>
        <w:t xml:space="preserve">Entering the 2000-2001 winter season, California had 152 Bcf of natural gas in storage, 34 Bcf below the 1995-1999 average (EIA, U.S. Gas Markets: Recent Trends and Prospects for the Future, 5/01). Only recently have injections considerably strengthened. Still, the EIA estimates that stocks in the West region at the beginning of May were approximately 19 percent less than the six-year average. </w:t>
      </w:r>
    </w:p>
    <w:p>
      <w:pPr>
        <w:pStyle w:val="Normal"/>
        <w:ind w:start="144" w:end="0"/>
        <w:rPr>
          <w:sz w:val="22"/>
        </w:rPr>
      </w:pPr>
      <w:r>
        <w:rPr>
          <w:sz w:val="22"/>
        </w:rPr>
      </w:r>
    </w:p>
    <w:p>
      <w:pPr>
        <w:pStyle w:val="Normal"/>
        <w:numPr>
          <w:ilvl w:val="0"/>
          <w:numId w:val="2"/>
        </w:numPr>
        <w:rPr>
          <w:sz w:val="22"/>
        </w:rPr>
      </w:pPr>
      <w:r>
        <w:rPr>
          <w:sz w:val="22"/>
        </w:rPr>
        <w:t>The major withdrawals that followed a disruption in supply from the August 2000 rupture in the El Paso pipeline further contributed to the depletion of storage.</w:t>
      </w:r>
    </w:p>
    <w:p>
      <w:pPr>
        <w:pStyle w:val="BodyText2"/>
        <w:rPr>
          <w:b w:val="false"/>
          <w:bCs w:val="false"/>
          <w:sz w:val="22"/>
          <w:szCs w:val="20"/>
        </w:rPr>
      </w:pPr>
      <w:r>
        <w:rPr>
          <w:b w:val="false"/>
          <w:bCs w:val="false"/>
          <w:sz w:val="22"/>
          <w:szCs w:val="20"/>
        </w:rPr>
      </w:r>
    </w:p>
    <w:p>
      <w:pPr>
        <w:pStyle w:val="BodyText2"/>
        <w:rPr>
          <w:sz w:val="22"/>
        </w:rPr>
      </w:pPr>
      <w:r>
        <w:rPr>
          <w:sz w:val="22"/>
        </w:rPr>
        <w:t xml:space="preserve">Slow Growth of In-State Natural Gas Production Capacity </w:t>
      </w:r>
    </w:p>
    <w:p>
      <w:pPr>
        <w:pStyle w:val="BodyText2"/>
        <w:rPr>
          <w:sz w:val="22"/>
        </w:rPr>
      </w:pPr>
      <w:r>
        <w:rPr>
          <w:sz w:val="22"/>
        </w:rPr>
      </w:r>
    </w:p>
    <w:p>
      <w:pPr>
        <w:pStyle w:val="Normal"/>
        <w:numPr>
          <w:ilvl w:val="0"/>
          <w:numId w:val="2"/>
        </w:numPr>
        <w:rPr>
          <w:sz w:val="22"/>
        </w:rPr>
      </w:pPr>
      <w:r>
        <w:rPr>
          <w:sz w:val="22"/>
        </w:rPr>
        <w:t xml:space="preserve">In 1999 California imported close to 85 percent of the natural gas used in the state, according to the California Energy Commission (CEC). </w:t>
      </w:r>
    </w:p>
    <w:p>
      <w:pPr>
        <w:pStyle w:val="BodyText2"/>
        <w:rPr>
          <w:sz w:val="22"/>
        </w:rPr>
      </w:pPr>
      <w:r>
        <w:rPr>
          <w:sz w:val="22"/>
        </w:rPr>
      </w:r>
    </w:p>
    <w:p>
      <w:pPr>
        <w:pStyle w:val="Normal"/>
        <w:numPr>
          <w:ilvl w:val="0"/>
          <w:numId w:val="2"/>
        </w:numPr>
        <w:rPr>
          <w:sz w:val="22"/>
        </w:rPr>
      </w:pPr>
      <w:r>
        <w:rPr>
          <w:sz w:val="22"/>
        </w:rPr>
        <w:t>The growth in gas productive capacity in California relative to 1999 was only 0.01 Bcf/d in 2000 and is predicted to be 0.02 Bcf/d in 2001 and 0.05 Bcf/d in 2002 (CERA, Western Energy Roundtable presentation, 4/26/01, San Francisco).</w:t>
      </w:r>
    </w:p>
    <w:p>
      <w:pPr>
        <w:pStyle w:val="Normal"/>
        <w:rPr>
          <w:sz w:val="22"/>
        </w:rPr>
      </w:pPr>
      <w:r>
        <w:rPr>
          <w:sz w:val="22"/>
        </w:rPr>
      </w:r>
    </w:p>
    <w:p>
      <w:pPr>
        <w:pStyle w:val="BodyText2"/>
        <w:rPr>
          <w:sz w:val="22"/>
        </w:rPr>
      </w:pPr>
      <w:r>
        <w:rPr>
          <w:sz w:val="22"/>
        </w:rPr>
      </w:r>
    </w:p>
    <w:p>
      <w:pPr>
        <w:pStyle w:val="BodyText2"/>
        <w:rPr>
          <w:sz w:val="22"/>
        </w:rPr>
      </w:pPr>
      <w:r>
        <w:rPr>
          <w:sz w:val="22"/>
        </w:rPr>
        <w:t>Insufficient Infrastructure Pipeline Capacity</w:t>
      </w:r>
    </w:p>
    <w:p>
      <w:pPr>
        <w:pStyle w:val="BodyText2"/>
        <w:rPr>
          <w:sz w:val="22"/>
        </w:rPr>
      </w:pPr>
      <w:r>
        <w:rPr>
          <w:sz w:val="22"/>
        </w:rPr>
      </w:r>
    </w:p>
    <w:p>
      <w:pPr>
        <w:pStyle w:val="Normal"/>
        <w:numPr>
          <w:ilvl w:val="0"/>
          <w:numId w:val="2"/>
        </w:numPr>
        <w:rPr>
          <w:sz w:val="22"/>
        </w:rPr>
      </w:pPr>
      <w:r>
        <w:rPr>
          <w:sz w:val="22"/>
        </w:rPr>
        <w:t>Currently interstate delivery capacity exceeds intrastate take-away capacity:  Total interstate delivery capacity is 7,080 MMcf/d, but intrastate take-away capacity is only 5,833 MMcf/d:</w:t>
      </w:r>
    </w:p>
    <w:p>
      <w:pPr>
        <w:pStyle w:val="BodyText2"/>
        <w:rPr>
          <w:b w:val="false"/>
          <w:bCs w:val="false"/>
          <w:sz w:val="22"/>
        </w:rPr>
      </w:pPr>
      <w:r>
        <w:rPr>
          <w:b w:val="false"/>
          <w:bCs w:val="false"/>
          <w:sz w:val="22"/>
        </w:rPr>
      </w:r>
    </w:p>
    <w:tbl>
      <w:tblPr>
        <w:tblW w:w="8770" w:type="dxa"/>
        <w:jc w:val="center"/>
        <w:tblInd w:w="0" w:type="dxa"/>
        <w:tblLayout w:type="fixed"/>
        <w:tblCellMar>
          <w:top w:w="15" w:type="dxa"/>
          <w:start w:w="15" w:type="dxa"/>
          <w:bottom w:w="0" w:type="dxa"/>
          <w:end w:w="15" w:type="dxa"/>
        </w:tblCellMar>
      </w:tblPr>
      <w:tblGrid>
        <w:gridCol w:w="2943"/>
        <w:gridCol w:w="918"/>
        <w:gridCol w:w="332"/>
        <w:gridCol w:w="1402"/>
        <w:gridCol w:w="3175"/>
      </w:tblGrid>
      <w:tr>
        <w:trPr>
          <w:trHeight w:val="730" w:hRule="atLeast"/>
        </w:trPr>
        <w:tc>
          <w:tcPr>
            <w:tcW w:w="2943" w:type="dxa"/>
            <w:tcBorders>
              <w:top w:val="single" w:sz="8" w:space="0" w:color="000000"/>
              <w:start w:val="single" w:sz="8" w:space="0" w:color="000000"/>
              <w:bottom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Pipeline</w:t>
            </w:r>
          </w:p>
        </w:tc>
        <w:tc>
          <w:tcPr>
            <w:tcW w:w="918"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Interstate Delivery Capacity</w:t>
            </w:r>
          </w:p>
        </w:tc>
        <w:tc>
          <w:tcPr>
            <w:tcW w:w="332" w:type="dxa"/>
            <w:tcBorders>
              <w:top w:val="single" w:sz="8" w:space="0" w:color="000000"/>
            </w:tcBorders>
            <w:shd w:fill="C0C0C0" w:val="clear"/>
            <w:vAlign w:val="bottom"/>
          </w:tcPr>
          <w:p>
            <w:pPr>
              <w:pStyle w:val="FootnoteText"/>
              <w:rPr>
                <w:rFonts w:ascii="Arial" w:hAnsi="Arial" w:eastAsia="Arial Unicode MS" w:cs="Arial"/>
              </w:rPr>
            </w:pPr>
            <w:r>
              <w:rPr>
                <w:rFonts w:cs="Arial" w:ascii="Arial" w:hAnsi="Arial"/>
              </w:rPr>
              <w:t> </w:t>
            </w:r>
          </w:p>
        </w:tc>
        <w:tc>
          <w:tcPr>
            <w:tcW w:w="1402" w:type="dxa"/>
            <w:tcBorders>
              <w:top w:val="single" w:sz="8" w:space="0" w:color="000000"/>
              <w:start w:val="single" w:sz="8" w:space="0" w:color="000000"/>
              <w:bottom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Intrastate Take-Away Capacity</w:t>
            </w:r>
          </w:p>
        </w:tc>
        <w:tc>
          <w:tcPr>
            <w:tcW w:w="3175"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Location</w:t>
            </w:r>
          </w:p>
        </w:tc>
      </w:tr>
      <w:tr>
        <w:trPr>
          <w:trHeight w:val="31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PG&amp;E GT-NW (at Malin)</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1,950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1,803</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PG&amp;E Malin</w:t>
            </w:r>
          </w:p>
        </w:tc>
      </w:tr>
      <w:tr>
        <w:trPr>
          <w:trHeight w:val="85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Kern River (at Daggett)       EPNG (at Topock)           Transwestern (at Topock)</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200  1,140  170</w:t>
            </w:r>
          </w:p>
        </w:tc>
        <w:tc>
          <w:tcPr>
            <w:tcW w:w="332" w:type="dxa"/>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center"/>
          </w:tcPr>
          <w:p>
            <w:pPr>
              <w:pStyle w:val="Normal"/>
              <w:jc w:val="end"/>
              <w:rPr>
                <w:rFonts w:ascii="Arial" w:hAnsi="Arial" w:eastAsia="Arial Unicode MS" w:cs="Arial"/>
                <w:sz w:val="20"/>
                <w:szCs w:val="20"/>
              </w:rPr>
            </w:pPr>
            <w:r>
              <w:rPr>
                <w:rFonts w:cs="Arial" w:ascii="Arial" w:hAnsi="Arial"/>
                <w:sz w:val="20"/>
                <w:szCs w:val="20"/>
              </w:rPr>
              <w:t>1,140</w:t>
            </w:r>
          </w:p>
        </w:tc>
        <w:tc>
          <w:tcPr>
            <w:tcW w:w="3175" w:type="dxa"/>
            <w:tcBorders>
              <w:bottom w:val="single" w:sz="8" w:space="0" w:color="000000"/>
              <w:end w:val="single" w:sz="8" w:space="0" w:color="000000"/>
            </w:tcBorders>
            <w:vAlign w:val="center"/>
          </w:tcPr>
          <w:p>
            <w:pPr>
              <w:pStyle w:val="Normal"/>
              <w:rPr>
                <w:rFonts w:ascii="Arial" w:hAnsi="Arial" w:eastAsia="Arial Unicode MS" w:cs="Arial"/>
                <w:sz w:val="20"/>
                <w:szCs w:val="20"/>
              </w:rPr>
            </w:pPr>
            <w:r>
              <w:rPr>
                <w:rFonts w:cs="Arial" w:ascii="Arial" w:hAnsi="Arial"/>
                <w:sz w:val="20"/>
                <w:szCs w:val="20"/>
              </w:rPr>
              <w:t>PG&amp;E Topock and PG&amp;E Daggett</w:t>
            </w:r>
          </w:p>
        </w:tc>
      </w:tr>
      <w:tr>
        <w:trPr>
          <w:trHeight w:val="52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EPNG (at Topock)  Transwestern (at Topock)</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540         170</w:t>
            </w:r>
          </w:p>
        </w:tc>
        <w:tc>
          <w:tcPr>
            <w:tcW w:w="332" w:type="dxa"/>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540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Topock</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EPNG (at Ehrenburg)</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1,210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1,210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Ehrenburg</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Transwestern (at Needles)</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750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Needles</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Mojave (at Hector)</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Hector</w:t>
            </w:r>
          </w:p>
        </w:tc>
      </w:tr>
      <w:tr>
        <w:trPr>
          <w:trHeight w:val="412" w:hRule="atLeast"/>
        </w:trPr>
        <w:tc>
          <w:tcPr>
            <w:tcW w:w="2943" w:type="dxa"/>
            <w:tcBorders>
              <w:start w:val="single" w:sz="8" w:space="0" w:color="000000"/>
              <w:bottom w:val="single" w:sz="8" w:space="0" w:color="000000"/>
            </w:tcBorders>
          </w:tcPr>
          <w:p>
            <w:pPr>
              <w:pStyle w:val="Normal"/>
              <w:rPr>
                <w:rFonts w:ascii="Arial" w:hAnsi="Arial" w:eastAsia="Arial Unicode MS" w:cs="Arial"/>
                <w:sz w:val="20"/>
                <w:szCs w:val="20"/>
              </w:rPr>
            </w:pPr>
            <w:r>
              <w:rPr>
                <w:rFonts w:cs="Arial" w:ascii="Arial" w:hAnsi="Arial"/>
                <w:sz w:val="20"/>
                <w:szCs w:val="20"/>
              </w:rPr>
              <w:t>Kern /Mojave (at Wheeler Ridge)</w:t>
            </w:r>
          </w:p>
        </w:tc>
        <w:tc>
          <w:tcPr>
            <w:tcW w:w="918" w:type="dxa"/>
            <w:tcBorders>
              <w:bottom w:val="single" w:sz="8" w:space="0" w:color="000000"/>
              <w:end w:val="single" w:sz="8" w:space="0" w:color="000000"/>
            </w:tcBorders>
          </w:tcPr>
          <w:p>
            <w:pPr>
              <w:pStyle w:val="Normal"/>
              <w:jc w:val="end"/>
              <w:rPr>
                <w:rFonts w:ascii="Arial" w:hAnsi="Arial" w:eastAsia="Arial Unicode MS" w:cs="Arial"/>
                <w:sz w:val="20"/>
                <w:szCs w:val="20"/>
              </w:rPr>
            </w:pPr>
            <w:r>
              <w:rPr>
                <w:rFonts w:cs="Arial" w:ascii="Arial" w:hAnsi="Arial"/>
                <w:sz w:val="20"/>
                <w:szCs w:val="20"/>
              </w:rPr>
              <w:t>850</w:t>
            </w:r>
          </w:p>
        </w:tc>
        <w:tc>
          <w:tcPr>
            <w:tcW w:w="332" w:type="dxa"/>
            <w:tcBorders/>
            <w:shd w:fill="C0C0C0" w:val="clear"/>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680                      (340)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Wheeler Ridge                    (from G&amp;E at Wheeler Ridge)</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Total Delivery</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7,080</w:t>
            </w:r>
          </w:p>
        </w:tc>
        <w:tc>
          <w:tcPr>
            <w:tcW w:w="332" w:type="dxa"/>
            <w:tcBorders>
              <w:bottom w:val="single" w:sz="8" w:space="0" w:color="000000"/>
            </w:tcBorders>
            <w:shd w:fill="C0C0C0" w:val="clear"/>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5,833</w:t>
            </w:r>
          </w:p>
        </w:tc>
        <w:tc>
          <w:tcPr>
            <w:tcW w:w="3175" w:type="dxa"/>
            <w:tcBorders>
              <w:bottom w:val="single" w:sz="8" w:space="0" w:color="000000"/>
              <w:end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Total Take-Away</w:t>
            </w:r>
          </w:p>
        </w:tc>
      </w:tr>
    </w:tbl>
    <w:p>
      <w:pPr>
        <w:pStyle w:val="BodyText2"/>
        <w:rPr>
          <w:b w:val="false"/>
          <w:bCs w:val="false"/>
          <w:sz w:val="16"/>
        </w:rPr>
      </w:pPr>
      <w:r>
        <w:rPr>
          <w:b w:val="false"/>
          <w:bCs w:val="false"/>
          <w:sz w:val="16"/>
        </w:rPr>
        <w:t>Source: American Gas Association</w:t>
      </w:r>
    </w:p>
    <w:p>
      <w:pPr>
        <w:pStyle w:val="BodyText2"/>
        <w:rPr>
          <w:b w:val="false"/>
          <w:bCs w:val="false"/>
          <w:sz w:val="16"/>
        </w:rPr>
      </w:pPr>
      <w:r>
        <w:rPr>
          <w:b w:val="false"/>
          <w:bCs w:val="false"/>
          <w:sz w:val="16"/>
        </w:rPr>
      </w:r>
    </w:p>
    <w:p>
      <w:pPr>
        <w:pStyle w:val="Normal"/>
        <w:numPr>
          <w:ilvl w:val="0"/>
          <w:numId w:val="2"/>
        </w:numPr>
        <w:rPr>
          <w:sz w:val="22"/>
        </w:rPr>
      </w:pPr>
      <w:r>
        <w:rPr>
          <w:sz w:val="22"/>
        </w:rPr>
        <w:t xml:space="preserve">Until recently, construction of new pipelines into the state has been strongly opposed and California companies have failed to invest in pipeline capacity within the state. </w:t>
      </w:r>
    </w:p>
    <w:p>
      <w:pPr>
        <w:pStyle w:val="Normal"/>
        <w:ind w:start="144" w:end="0"/>
        <w:rPr>
          <w:sz w:val="22"/>
        </w:rPr>
      </w:pPr>
      <w:r>
        <w:rPr>
          <w:sz w:val="22"/>
        </w:rPr>
      </w:r>
    </w:p>
    <w:p>
      <w:pPr>
        <w:pStyle w:val="Normal"/>
        <w:numPr>
          <w:ilvl w:val="0"/>
          <w:numId w:val="2"/>
        </w:numPr>
        <w:rPr>
          <w:sz w:val="22"/>
        </w:rPr>
      </w:pPr>
      <w:r>
        <w:rPr>
          <w:sz w:val="22"/>
        </w:rPr>
        <w:t>The last major interstate capacity additions were placed in service in 1993.</w:t>
      </w:r>
    </w:p>
    <w:p>
      <w:pPr>
        <w:pStyle w:val="Normal"/>
        <w:ind w:start="144" w:end="0"/>
        <w:rPr>
          <w:sz w:val="22"/>
        </w:rPr>
      </w:pPr>
      <w:r>
        <w:rPr>
          <w:sz w:val="22"/>
        </w:rPr>
      </w:r>
    </w:p>
    <w:p>
      <w:pPr>
        <w:pStyle w:val="Normal"/>
        <w:numPr>
          <w:ilvl w:val="0"/>
          <w:numId w:val="2"/>
        </w:numPr>
        <w:rPr>
          <w:sz w:val="22"/>
        </w:rPr>
      </w:pPr>
      <w:r>
        <w:rPr>
          <w:sz w:val="22"/>
        </w:rPr>
        <w:t>In April, the CEC predicted that if all proposed power plants in California are approved and constructed, 3 Bcf/d of new deliverability would be needed. Even if only those plants already approved were constructed, “major expansions” would be required (Pipelines and Power Generation, Scott Tomashefsky, CEC, delivered to the CPUC Natural Gas Infrastructure Workshop, 4/17/01).</w:t>
      </w:r>
    </w:p>
    <w:p>
      <w:pPr>
        <w:pStyle w:val="Normal"/>
        <w:rPr>
          <w:sz w:val="22"/>
        </w:rPr>
      </w:pPr>
      <w:r>
        <w:rPr>
          <w:sz w:val="22"/>
        </w:rPr>
      </w:r>
    </w:p>
    <w:p>
      <w:pPr>
        <w:pStyle w:val="Normal"/>
        <w:numPr>
          <w:ilvl w:val="0"/>
          <w:numId w:val="2"/>
        </w:numPr>
        <w:rPr>
          <w:rFonts w:eastAsia="Arial Unicode MS"/>
          <w:b/>
          <w:bCs/>
          <w:sz w:val="22"/>
        </w:rPr>
      </w:pPr>
      <w:r>
        <w:rPr/>
        <w:t>Basis differential between California points into producing regions are creating incentives for expansion.</w:t>
      </w:r>
    </w:p>
    <w:p>
      <w:pPr>
        <w:pStyle w:val="Normal"/>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firstLine="576" w:start="144" w:end="0"/>
        <w:jc w:val="center"/>
        <w:rPr>
          <w:rFonts w:eastAsia="Arial Unicode MS"/>
          <w:b/>
          <w:bCs/>
          <w:sz w:val="22"/>
        </w:rPr>
      </w:pPr>
      <w:r>
        <w:rPr>
          <w:rFonts w:eastAsia="Arial Unicode MS"/>
          <w:b/>
          <w:bCs/>
          <w:sz w:val="22"/>
        </w:rPr>
        <w:t xml:space="preserve">New Interstate Pipelines and Expansions to California </w:t>
      </w:r>
    </w:p>
    <w:p>
      <w:pPr>
        <w:pStyle w:val="Normal"/>
        <w:ind w:firstLine="576" w:start="144" w:end="0"/>
        <w:jc w:val="center"/>
        <w:rPr>
          <w:rFonts w:eastAsia="Arial Unicode MS"/>
          <w:b/>
          <w:bCs/>
          <w:sz w:val="22"/>
        </w:rPr>
      </w:pPr>
      <w:r>
        <w:rPr>
          <w:rFonts w:eastAsia="Arial Unicode MS"/>
          <w:b/>
          <w:bCs/>
          <w:sz w:val="22"/>
        </w:rPr>
      </w:r>
    </w:p>
    <w:tbl>
      <w:tblPr>
        <w:tblW w:w="7740" w:type="dxa"/>
        <w:jc w:val="start"/>
        <w:tblInd w:w="655" w:type="dxa"/>
        <w:tblLayout w:type="fixed"/>
        <w:tblCellMar>
          <w:top w:w="0" w:type="dxa"/>
          <w:start w:w="115" w:type="dxa"/>
          <w:bottom w:w="0" w:type="dxa"/>
          <w:end w:w="115" w:type="dxa"/>
        </w:tblCellMar>
      </w:tblPr>
      <w:tblGrid>
        <w:gridCol w:w="3240"/>
        <w:gridCol w:w="450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Kern River</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1"/>
                <w:numId w:val="4"/>
              </w:numPr>
              <w:rPr>
                <w:rFonts w:eastAsia="Arial Unicode MS"/>
                <w:sz w:val="20"/>
              </w:rPr>
            </w:pPr>
            <w:r>
              <w:rPr>
                <w:rFonts w:eastAsia="Arial Unicode MS"/>
                <w:sz w:val="20"/>
              </w:rPr>
              <w:t>135 MMcfd by 7/1/01</w:t>
            </w:r>
          </w:p>
          <w:p>
            <w:pPr>
              <w:pStyle w:val="Normal"/>
              <w:keepNext w:val="true"/>
              <w:numPr>
                <w:ilvl w:val="1"/>
                <w:numId w:val="4"/>
              </w:numPr>
              <w:rPr>
                <w:rFonts w:eastAsia="Arial Unicode MS"/>
                <w:sz w:val="20"/>
              </w:rPr>
            </w:pPr>
            <w:r>
              <w:rPr>
                <w:rFonts w:eastAsia="Arial Unicode MS"/>
                <w:sz w:val="20"/>
              </w:rPr>
              <w:t xml:space="preserve">2001; 900 MMcfd expansion for    </w:t>
            </w:r>
          </w:p>
          <w:p>
            <w:pPr>
              <w:pStyle w:val="Normal"/>
              <w:keepNext w:val="true"/>
              <w:ind w:start="360" w:end="0"/>
              <w:rPr>
                <w:rFonts w:eastAsia="Arial Unicode MS"/>
                <w:sz w:val="20"/>
              </w:rPr>
            </w:pPr>
            <w:r>
              <w:rPr>
                <w:rFonts w:eastAsia="Arial Unicode MS"/>
                <w:sz w:val="20"/>
              </w:rPr>
              <w:t>operation in 2003.</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PG&amp;E – GTN Expansion</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7"/>
              </w:numPr>
              <w:rPr>
                <w:rFonts w:eastAsia="Arial Unicode MS"/>
                <w:sz w:val="20"/>
              </w:rPr>
            </w:pPr>
            <w:r>
              <w:rPr>
                <w:rFonts w:eastAsia="Arial Unicode MS"/>
                <w:sz w:val="20"/>
              </w:rPr>
              <w:t>200 MMcfd partially available this winter,</w:t>
            </w:r>
          </w:p>
          <w:p>
            <w:pPr>
              <w:pStyle w:val="Normal"/>
              <w:keepNext w:val="true"/>
              <w:ind w:start="72" w:end="0"/>
              <w:rPr>
                <w:sz w:val="20"/>
              </w:rPr>
            </w:pPr>
            <w:r>
              <w:rPr>
                <w:rFonts w:eastAsia="Times New Roman"/>
                <w:sz w:val="20"/>
              </w:rPr>
              <w:t xml:space="preserve">       </w:t>
            </w:r>
            <w:r>
              <w:rPr>
                <w:rFonts w:eastAsia="Arial Unicode MS"/>
                <w:sz w:val="20"/>
              </w:rPr>
              <w:t>the rest by summer 2002</w:t>
            </w:r>
          </w:p>
          <w:p>
            <w:pPr>
              <w:pStyle w:val="Normal"/>
              <w:keepNext w:val="true"/>
              <w:numPr>
                <w:ilvl w:val="0"/>
                <w:numId w:val="7"/>
              </w:numPr>
              <w:rPr>
                <w:rFonts w:eastAsia="Arial Unicode MS"/>
                <w:sz w:val="20"/>
              </w:rPr>
            </w:pPr>
            <w:r>
              <w:rPr>
                <w:rFonts w:eastAsia="Arial Unicode MS"/>
                <w:sz w:val="20"/>
              </w:rPr>
              <w:t>1,000 MMcfd expansion expected within</w:t>
            </w:r>
          </w:p>
          <w:p>
            <w:pPr>
              <w:pStyle w:val="Normal"/>
              <w:keepNext w:val="true"/>
              <w:ind w:start="72" w:end="0"/>
              <w:rPr>
                <w:sz w:val="20"/>
              </w:rPr>
            </w:pPr>
            <w:r>
              <w:rPr>
                <w:rFonts w:eastAsia="Times New Roman"/>
                <w:sz w:val="20"/>
              </w:rPr>
              <w:t xml:space="preserve">       </w:t>
            </w:r>
            <w:r>
              <w:rPr>
                <w:rFonts w:eastAsia="Arial Unicode MS"/>
                <w:sz w:val="20"/>
              </w:rPr>
              <w:t>the next 10 yrs.</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Questar Southern Trails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By spring 2002 - 90 MMcfd to CA border</w:t>
            </w:r>
          </w:p>
          <w:p>
            <w:pPr>
              <w:pStyle w:val="Normal"/>
              <w:keepNext w:val="true"/>
              <w:ind w:start="72" w:end="0"/>
              <w:rPr>
                <w:sz w:val="20"/>
              </w:rPr>
            </w:pPr>
            <w:r>
              <w:rPr>
                <w:rFonts w:eastAsia="Times New Roman"/>
                <w:sz w:val="20"/>
              </w:rPr>
              <w:t xml:space="preserve">       </w:t>
            </w:r>
            <w:r>
              <w:rPr>
                <w:rFonts w:eastAsia="Arial Unicode MS"/>
                <w:sz w:val="20"/>
              </w:rPr>
              <w:t>and 126 MMcfd to LA Basin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El Paso Natural Gas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Plains All American Pipeline</w:t>
            </w:r>
          </w:p>
          <w:p>
            <w:pPr>
              <w:pStyle w:val="Normal"/>
              <w:keepNext w:val="true"/>
              <w:ind w:start="360" w:end="0"/>
              <w:rPr>
                <w:rFonts w:eastAsia="Arial Unicode MS"/>
                <w:sz w:val="20"/>
              </w:rPr>
            </w:pPr>
            <w:r>
              <w:rPr>
                <w:rFonts w:eastAsia="Arial Unicode MS"/>
                <w:sz w:val="20"/>
              </w:rPr>
              <w:t>- By late August, 230 MMcfd added</w:t>
            </w:r>
          </w:p>
          <w:p>
            <w:pPr>
              <w:pStyle w:val="Normal"/>
              <w:keepNext w:val="true"/>
              <w:rPr>
                <w:sz w:val="20"/>
              </w:rPr>
            </w:pPr>
            <w:r>
              <w:rPr>
                <w:rFonts w:eastAsia="Times New Roman"/>
                <w:sz w:val="20"/>
              </w:rPr>
              <w:t xml:space="preserve">         </w:t>
            </w:r>
            <w:r>
              <w:rPr>
                <w:rFonts w:eastAsia="Arial Unicode MS"/>
                <w:sz w:val="20"/>
              </w:rPr>
              <w:t>capacity from conversion of crude oil</w:t>
            </w:r>
          </w:p>
          <w:p>
            <w:pPr>
              <w:pStyle w:val="Normal"/>
              <w:keepNext w:val="true"/>
              <w:jc w:val="center"/>
              <w:rPr>
                <w:sz w:val="20"/>
              </w:rPr>
            </w:pPr>
            <w:r>
              <w:rPr>
                <w:rFonts w:eastAsia="Times New Roman"/>
                <w:sz w:val="20"/>
              </w:rPr>
              <w:t xml:space="preserve">    </w:t>
            </w:r>
            <w:r>
              <w:rPr>
                <w:rFonts w:eastAsia="Arial Unicode MS"/>
                <w:sz w:val="20"/>
              </w:rPr>
              <w:t>pipeline; capacity could be increased to</w:t>
            </w:r>
          </w:p>
          <w:p>
            <w:pPr>
              <w:pStyle w:val="Normal"/>
              <w:keepNext w:val="true"/>
              <w:rPr>
                <w:sz w:val="20"/>
              </w:rPr>
            </w:pPr>
            <w:r>
              <w:rPr>
                <w:rFonts w:eastAsia="Times New Roman"/>
                <w:sz w:val="20"/>
              </w:rPr>
              <w:t xml:space="preserve">         </w:t>
            </w:r>
            <w:r>
              <w:rPr>
                <w:rFonts w:eastAsia="Arial Unicode MS"/>
                <w:sz w:val="20"/>
              </w:rPr>
              <w:t>500 MMcfd</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Transwestern Pipeline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Holding open season for 150 MMcfd.</w:t>
            </w:r>
          </w:p>
          <w:p>
            <w:pPr>
              <w:pStyle w:val="Normal"/>
              <w:keepNext w:val="true"/>
              <w:ind w:start="72" w:end="0"/>
              <w:rPr>
                <w:sz w:val="20"/>
              </w:rPr>
            </w:pPr>
            <w:r>
              <w:rPr>
                <w:rFonts w:eastAsia="Times New Roman"/>
                <w:sz w:val="20"/>
              </w:rPr>
              <w:t xml:space="preserve">       </w:t>
            </w:r>
            <w:r>
              <w:rPr>
                <w:rFonts w:eastAsia="Arial Unicode MS"/>
                <w:sz w:val="20"/>
              </w:rPr>
              <w:t>Operational in 6/02.</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North Baja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500 MMcfd in capacity</w:t>
            </w:r>
          </w:p>
          <w:p>
            <w:pPr>
              <w:pStyle w:val="Normal"/>
              <w:keepNext w:val="true"/>
              <w:numPr>
                <w:ilvl w:val="0"/>
                <w:numId w:val="10"/>
              </w:numPr>
              <w:rPr>
                <w:rFonts w:eastAsia="Arial Unicode MS"/>
                <w:sz w:val="20"/>
              </w:rPr>
            </w:pPr>
            <w:r>
              <w:rPr>
                <w:rFonts w:eastAsia="Arial Unicode MS"/>
                <w:sz w:val="20"/>
              </w:rPr>
              <w:t>Operational by 9/02.</w:t>
            </w:r>
          </w:p>
          <w:p>
            <w:pPr>
              <w:pStyle w:val="Normal"/>
              <w:keepNext w:val="true"/>
              <w:numPr>
                <w:ilvl w:val="0"/>
                <w:numId w:val="10"/>
              </w:numPr>
              <w:rPr>
                <w:rFonts w:eastAsia="Arial Unicode MS"/>
                <w:sz w:val="20"/>
              </w:rPr>
            </w:pPr>
            <w:r>
              <w:rPr>
                <w:rFonts w:eastAsia="Arial Unicode MS"/>
                <w:sz w:val="20"/>
              </w:rPr>
              <w:t>Will require El Paso and possibly</w:t>
            </w:r>
          </w:p>
          <w:p>
            <w:pPr>
              <w:pStyle w:val="Normal"/>
              <w:keepNext w:val="true"/>
              <w:ind w:start="72" w:end="0"/>
              <w:rPr>
                <w:sz w:val="20"/>
              </w:rPr>
            </w:pPr>
            <w:r>
              <w:rPr>
                <w:rFonts w:eastAsia="Times New Roman"/>
                <w:sz w:val="20"/>
              </w:rPr>
              <w:t xml:space="preserve">       </w:t>
            </w:r>
            <w:r>
              <w:rPr>
                <w:rFonts w:eastAsia="Arial Unicode MS"/>
                <w:sz w:val="20"/>
              </w:rPr>
              <w:t>Transwestern expansion.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Sonoran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By summer 2003 - 750 – 1,000 MMcfd</w:t>
            </w:r>
          </w:p>
          <w:p>
            <w:pPr>
              <w:pStyle w:val="Normal"/>
              <w:keepNext w:val="true"/>
              <w:numPr>
                <w:ilvl w:val="0"/>
                <w:numId w:val="10"/>
              </w:numPr>
              <w:rPr>
                <w:rFonts w:eastAsia="Arial Unicode MS"/>
                <w:sz w:val="20"/>
              </w:rPr>
            </w:pPr>
            <w:r>
              <w:rPr>
                <w:rFonts w:eastAsia="Arial Unicode MS"/>
                <w:sz w:val="20"/>
              </w:rPr>
              <w:t>In Phase Two – 1,000-1,500 MMcfd</w:t>
            </w:r>
          </w:p>
        </w:tc>
      </w:tr>
    </w:tbl>
    <w:p>
      <w:pPr>
        <w:pStyle w:val="BodyText3"/>
        <w:rPr>
          <w:sz w:val="16"/>
        </w:rPr>
      </w:pPr>
      <w:r>
        <w:rPr>
          <w:sz w:val="16"/>
        </w:rPr>
        <w:t>Source (except where otherwise noted): “Pipelines and Power Generation,” presentation by William J. Keese, Chairman,</w:t>
      </w:r>
    </w:p>
    <w:p>
      <w:pPr>
        <w:pStyle w:val="BodyText3"/>
        <w:rPr>
          <w:sz w:val="16"/>
        </w:rPr>
      </w:pPr>
      <w:r>
        <w:rPr>
          <w:sz w:val="16"/>
        </w:rPr>
        <w:t>California Energy Commission, 5/10/01.</w:t>
      </w:r>
    </w:p>
    <w:p>
      <w:pPr>
        <w:pStyle w:val="BodyText3"/>
        <w:rPr>
          <w:sz w:val="16"/>
        </w:rPr>
      </w:pPr>
      <w:r>
        <w:rPr>
          <w:sz w:val="16"/>
        </w:rPr>
        <w:t>*Source: Kinder Morgan Energy Partners, L.P. and Calpine Corporation press release, 5/2/01.</w:t>
      </w:r>
    </w:p>
    <w:p>
      <w:pPr>
        <w:pStyle w:val="Normal"/>
        <w:rPr>
          <w:rFonts w:eastAsia="Arial Unicode MS"/>
          <w:sz w:val="22"/>
        </w:rPr>
      </w:pPr>
      <w:r>
        <w:rPr>
          <w:rFonts w:eastAsia="Arial Unicode MS"/>
          <w:sz w:val="22"/>
        </w:rPr>
      </w:r>
    </w:p>
    <w:p>
      <w:pPr>
        <w:pStyle w:val="Normal"/>
        <w:rPr>
          <w:rFonts w:eastAsia="Arial Unicode MS"/>
          <w:sz w:val="22"/>
        </w:rPr>
      </w:pPr>
      <w:r>
        <w:rPr>
          <w:rFonts w:eastAsia="Arial Unicode MS"/>
          <w:sz w:val="22"/>
        </w:rPr>
      </w:r>
    </w:p>
    <w:p>
      <w:pPr>
        <w:pStyle w:val="Heading8"/>
        <w:ind w:hanging="0" w:start="0"/>
        <w:jc w:val="center"/>
        <w:rPr>
          <w:b/>
          <w:bCs/>
          <w:sz w:val="24"/>
        </w:rPr>
      </w:pPr>
      <w:r>
        <w:rPr>
          <w:b/>
          <w:bCs/>
          <w:sz w:val="24"/>
        </w:rPr>
        <w:t>Other Factors</w:t>
      </w:r>
    </w:p>
    <w:p>
      <w:pPr>
        <w:pStyle w:val="Normal"/>
        <w:rPr>
          <w:rFonts w:eastAsia="Arial Unicode MS"/>
          <w:b/>
          <w:bCs/>
          <w:sz w:val="22"/>
          <w:u w:val="single"/>
        </w:rPr>
      </w:pPr>
      <w:r>
        <w:rPr>
          <w:rFonts w:eastAsia="Arial Unicode MS"/>
          <w:b/>
          <w:bCs/>
          <w:sz w:val="22"/>
          <w:u w:val="single"/>
        </w:rPr>
      </w:r>
    </w:p>
    <w:p>
      <w:pPr>
        <w:pStyle w:val="Heading9"/>
        <w:ind w:hanging="0" w:start="0"/>
        <w:rPr/>
      </w:pPr>
      <w:r>
        <w:rPr/>
        <w:t>Flawed Regulation</w:t>
      </w:r>
    </w:p>
    <w:p>
      <w:pPr>
        <w:pStyle w:val="Normal"/>
        <w:rPr>
          <w:sz w:val="22"/>
        </w:rPr>
      </w:pPr>
      <w:r>
        <w:rPr>
          <w:sz w:val="22"/>
        </w:rPr>
      </w:r>
    </w:p>
    <w:p>
      <w:pPr>
        <w:pStyle w:val="Normal"/>
        <w:numPr>
          <w:ilvl w:val="0"/>
          <w:numId w:val="8"/>
        </w:numPr>
        <w:rPr>
          <w:rFonts w:eastAsia="Arial Unicode MS"/>
          <w:sz w:val="22"/>
        </w:rPr>
      </w:pPr>
      <w:r>
        <w:rPr>
          <w:rFonts w:eastAsia="Arial Unicode MS"/>
          <w:sz w:val="22"/>
        </w:rPr>
        <w:t>Surplus capacity and low gas prices in the early 1990s encouraged regulators to establish rate making schemes that gave the utilities financial incentives to rely upon the spot market instead of engaging in long-term contracts.</w:t>
      </w:r>
    </w:p>
    <w:p>
      <w:pPr>
        <w:pStyle w:val="Normal"/>
        <w:ind w:start="144" w:end="0"/>
        <w:rPr>
          <w:rFonts w:eastAsia="Arial Unicode MS"/>
          <w:sz w:val="22"/>
        </w:rPr>
      </w:pPr>
      <w:r>
        <w:rPr>
          <w:rFonts w:eastAsia="Arial Unicode MS"/>
          <w:sz w:val="22"/>
        </w:rPr>
      </w:r>
    </w:p>
    <w:p>
      <w:pPr>
        <w:pStyle w:val="Normal"/>
        <w:numPr>
          <w:ilvl w:val="0"/>
          <w:numId w:val="8"/>
        </w:numPr>
        <w:rPr>
          <w:rFonts w:eastAsia="Arial Unicode MS"/>
          <w:sz w:val="22"/>
        </w:rPr>
      </w:pPr>
      <w:r>
        <w:rPr>
          <w:rFonts w:eastAsia="Arial Unicode MS"/>
          <w:sz w:val="22"/>
        </w:rPr>
        <w:t>Regulatory risk related to the California Public Utility Commission’s (CPUC) reluctance to allow financial hedging and review of long-term contracts provided additional incentives for the utilities to stay short gas.</w:t>
      </w:r>
    </w:p>
    <w:p>
      <w:pPr>
        <w:pStyle w:val="Normal"/>
        <w:rPr>
          <w:rFonts w:eastAsia="Arial Unicode MS"/>
          <w:sz w:val="22"/>
        </w:rPr>
      </w:pPr>
      <w:r>
        <w:rPr>
          <w:rFonts w:eastAsia="Arial Unicode MS"/>
          <w:sz w:val="22"/>
        </w:rPr>
      </w:r>
    </w:p>
    <w:p>
      <w:pPr>
        <w:pStyle w:val="Normal"/>
        <w:rPr>
          <w:rFonts w:eastAsia="Arial Unicode MS"/>
          <w:vanish/>
          <w:sz w:val="22"/>
        </w:rPr>
      </w:pPr>
      <w:r>
        <w:rPr>
          <w:rFonts w:eastAsia="Arial Unicode MS"/>
          <w:vanish/>
          <w:sz w:val="22"/>
        </w:rPr>
      </w:r>
    </w:p>
    <w:p>
      <w:pPr>
        <w:pStyle w:val="Normal"/>
        <w:rPr>
          <w:rFonts w:eastAsia="Arial Unicode MS"/>
          <w:vanish/>
          <w:sz w:val="22"/>
        </w:rPr>
      </w:pPr>
      <w:r>
        <w:rPr>
          <w:rFonts w:eastAsia="Arial Unicode MS"/>
          <w:vanish/>
          <w:sz w:val="22"/>
        </w:rPr>
      </w:r>
    </w:p>
    <w:p>
      <w:pPr>
        <w:pStyle w:val="Heading6"/>
        <w:ind w:hanging="0" w:start="0"/>
        <w:rPr>
          <w:i w:val="false"/>
          <w:i w:val="false"/>
          <w:iCs w:val="false"/>
          <w:u w:val="single"/>
        </w:rPr>
      </w:pPr>
      <w:r>
        <w:rPr>
          <w:i w:val="false"/>
          <w:iCs w:val="false"/>
          <w:u w:val="single"/>
        </w:rPr>
        <w:t>Solution</w:t>
      </w:r>
    </w:p>
    <w:p>
      <w:pPr>
        <w:pStyle w:val="Normal"/>
        <w:keepNext w:val="true"/>
        <w:rPr>
          <w:i/>
          <w:i/>
          <w:iCs/>
          <w:sz w:val="22"/>
          <w:u w:val="single"/>
        </w:rPr>
      </w:pPr>
      <w:r>
        <w:rPr>
          <w:i/>
          <w:iCs/>
          <w:sz w:val="22"/>
          <w:u w:val="single"/>
        </w:rPr>
      </w:r>
    </w:p>
    <w:p>
      <w:pPr>
        <w:pStyle w:val="Normal"/>
        <w:keepNext w:val="true"/>
        <w:rPr>
          <w:sz w:val="22"/>
        </w:rPr>
      </w:pPr>
      <w:r>
        <w:rPr>
          <w:sz w:val="22"/>
        </w:rPr>
        <w:t xml:space="preserve">An effective solution to high natural gas prices in California will include components that address both supply and demand.  </w:t>
      </w:r>
    </w:p>
    <w:p>
      <w:pPr>
        <w:pStyle w:val="Normal"/>
        <w:keepNext w:val="true"/>
        <w:rPr>
          <w:sz w:val="22"/>
        </w:rPr>
      </w:pPr>
      <w:r>
        <w:rPr>
          <w:sz w:val="22"/>
        </w:rPr>
      </w:r>
    </w:p>
    <w:p>
      <w:pPr>
        <w:pStyle w:val="Normal"/>
        <w:keepNext w:val="true"/>
        <w:numPr>
          <w:ilvl w:val="0"/>
          <w:numId w:val="8"/>
        </w:numPr>
        <w:rPr>
          <w:rFonts w:eastAsia="Arial Unicode MS"/>
          <w:sz w:val="22"/>
        </w:rPr>
      </w:pPr>
      <w:r>
        <w:rPr>
          <w:rFonts w:eastAsia="Arial Unicode MS"/>
          <w:sz w:val="22"/>
        </w:rPr>
        <w:t>A comprehensive package of reforms should be implemented that:</w:t>
      </w:r>
    </w:p>
    <w:p>
      <w:pPr>
        <w:pStyle w:val="Normal"/>
        <w:rPr>
          <w:rFonts w:eastAsia="Arial Unicode MS"/>
          <w:sz w:val="22"/>
        </w:rPr>
      </w:pPr>
      <w:r>
        <w:rPr>
          <w:rFonts w:eastAsia="Arial Unicode MS"/>
          <w:sz w:val="22"/>
        </w:rPr>
      </w:r>
    </w:p>
    <w:p>
      <w:pPr>
        <w:pStyle w:val="Normal"/>
        <w:numPr>
          <w:ilvl w:val="0"/>
          <w:numId w:val="3"/>
        </w:numPr>
        <w:rPr>
          <w:sz w:val="22"/>
        </w:rPr>
      </w:pPr>
      <w:r>
        <w:rPr>
          <w:sz w:val="22"/>
        </w:rPr>
        <w:t>moves to create a single, statewide, competitive market for intrastate transportation and storage services; and</w:t>
      </w:r>
    </w:p>
    <w:p>
      <w:pPr>
        <w:pStyle w:val="Normal"/>
        <w:rPr>
          <w:sz w:val="22"/>
        </w:rPr>
      </w:pPr>
      <w:r>
        <w:rPr>
          <w:sz w:val="22"/>
        </w:rPr>
      </w:r>
    </w:p>
    <w:p>
      <w:pPr>
        <w:pStyle w:val="Normal"/>
        <w:numPr>
          <w:ilvl w:val="0"/>
          <w:numId w:val="3"/>
        </w:numPr>
        <w:rPr>
          <w:sz w:val="22"/>
        </w:rPr>
      </w:pPr>
      <w:r>
        <w:rPr>
          <w:sz w:val="22"/>
        </w:rPr>
        <w:t>provides incentives and streamlined approval for investment in intrastate gas infrastructure (as FERC has done at the interstate pipeline level).</w:t>
      </w:r>
    </w:p>
    <w:p>
      <w:pPr>
        <w:pStyle w:val="Normal"/>
        <w:rPr>
          <w:sz w:val="22"/>
        </w:rPr>
      </w:pPr>
      <w:r>
        <w:rPr>
          <w:sz w:val="22"/>
        </w:rPr>
      </w:r>
    </w:p>
    <w:p>
      <w:pPr>
        <w:pStyle w:val="Normal"/>
        <w:numPr>
          <w:ilvl w:val="0"/>
          <w:numId w:val="8"/>
        </w:numPr>
        <w:rPr>
          <w:rFonts w:eastAsia="Arial Unicode MS"/>
          <w:sz w:val="22"/>
        </w:rPr>
      </w:pPr>
      <w:r>
        <w:rPr>
          <w:rFonts w:eastAsia="Arial Unicode MS"/>
          <w:sz w:val="22"/>
        </w:rPr>
        <w:t>Price caps on transportation in the secondary market and commodity costs should be avoided – they neither increase supply nor decrease demand.</w:t>
      </w:r>
    </w:p>
    <w:p>
      <w:pPr>
        <w:pStyle w:val="Normal"/>
        <w:ind w:start="144" w:end="0"/>
        <w:rPr>
          <w:rFonts w:eastAsia="Arial Unicode MS"/>
          <w:sz w:val="22"/>
        </w:rPr>
      </w:pPr>
      <w:r>
        <w:rPr>
          <w:rFonts w:eastAsia="Arial Unicode MS"/>
          <w:sz w:val="22"/>
        </w:rPr>
      </w:r>
    </w:p>
    <w:p>
      <w:pPr>
        <w:pStyle w:val="Normal"/>
        <w:numPr>
          <w:ilvl w:val="0"/>
          <w:numId w:val="8"/>
        </w:numPr>
        <w:rPr>
          <w:rFonts w:eastAsia="Arial Unicode MS"/>
          <w:sz w:val="22"/>
        </w:rPr>
      </w:pPr>
      <w:r>
        <w:rPr>
          <w:rFonts w:eastAsia="Arial Unicode MS"/>
          <w:sz w:val="22"/>
        </w:rPr>
        <w:t>If there is true evidence of market power abuse, the Federal Energy Regulatory Commission (FERC) should take investigate and remedy any actual abuse.</w:t>
      </w:r>
    </w:p>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start="144" w:end="0"/>
        <w:rPr>
          <w:b/>
          <w:bCs/>
          <w:sz w:val="22"/>
        </w:rPr>
      </w:pPr>
      <w:r>
        <w:rPr>
          <w:rStyle w:val="FootnoteCharacters"/>
        </w:rPr>
        <w:t>*</w:t>
      </w:r>
      <w:r>
        <w:rPr/>
        <w:t xml:space="preserve"> </w:t>
      </w:r>
      <w:r>
        <w:rPr>
          <w:sz w:val="22"/>
        </w:rPr>
        <w:t xml:space="preserve">Source: EIA for data through 1997, EEA estimates thereafter. Does not include gas demand from non-utility units constructed prior to 1998.  </w:t>
      </w:r>
    </w:p>
    <w:p>
      <w:pPr>
        <w:pStyle w:val="FootnoteText"/>
        <w:rPr>
          <w:b/>
          <w:bCs/>
          <w:sz w:val="22"/>
        </w:rPr>
      </w:pPr>
      <w:r>
        <w:rPr>
          <w:b/>
          <w:bCs/>
          <w:sz w:val="22"/>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b w:val="false"/>
        <w:sz w:val="36"/>
      </w:rPr>
    </w:pPr>
    <w:r>
      <w:rPr>
        <w:b w:val="false"/>
        <w:sz w:val="36"/>
      </w:rPr>
      <w:t>California’s Natural Gas Prices:</w:t>
    </w:r>
  </w:p>
  <w:p>
    <w:pPr>
      <w:pStyle w:val="Heading"/>
      <w:shd w:fill="000000" w:val="clear"/>
      <w:ind w:start="0" w:end="-180"/>
      <w:rPr>
        <w:b w:val="false"/>
        <w:sz w:val="36"/>
      </w:rPr>
    </w:pPr>
    <w:r>
      <w:rPr>
        <w:b w:val="false"/>
        <w:sz w:val="36"/>
      </w:rPr>
      <w:t>A Function of Supply and Demand</w:t>
    </w:r>
  </w:p>
  <w:p>
    <w:pPr>
      <w:pStyle w:val="Header"/>
      <w:rPr>
        <w:b/>
        <w:sz w:val="36"/>
      </w:rPr>
    </w:pPr>
    <w:r>
      <w:rPr>
        <w:b/>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Wingdings" w:hAnsi="Wingdings" w:cs="Wingdings" w:hint="default"/>
        <w:sz w:val="16"/>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432"/>
        </w:tabs>
        <w:ind w:start="360" w:hanging="288"/>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504"/>
        </w:tabs>
        <w:ind w:start="504" w:hanging="360"/>
      </w:pPr>
      <w:rPr>
        <w:rFonts w:ascii="Wingdings" w:hAnsi="Wingdings" w:cs="Wingdings" w:hint="default"/>
        <w:sz w:val="16"/>
      </w:rPr>
    </w:lvl>
  </w:abstractNum>
  <w:abstractNum w:abstractNumId="6">
    <w:lvl w:ilvl="0">
      <w:start w:val="1"/>
      <w:numFmt w:val="bullet"/>
      <w:lvlText w:val=""/>
      <w:lvlJc w:val="start"/>
      <w:pPr>
        <w:tabs>
          <w:tab w:val="num" w:pos="504"/>
        </w:tabs>
        <w:ind w:start="504" w:hanging="360"/>
      </w:pPr>
      <w:rPr>
        <w:rFonts w:ascii="Wingdings" w:hAnsi="Wingdings" w:cs="Wingdings" w:hint="default"/>
        <w:sz w:val="16"/>
      </w:rPr>
    </w:lvl>
  </w:abstractNum>
  <w:abstractNum w:abstractNumId="7">
    <w:lvl w:ilvl="0">
      <w:start w:val="1"/>
      <w:numFmt w:val="bullet"/>
      <w:lvlText w:val=""/>
      <w:lvlJc w:val="start"/>
      <w:pPr>
        <w:tabs>
          <w:tab w:val="num" w:pos="432"/>
        </w:tabs>
        <w:ind w:start="360" w:hanging="288"/>
      </w:pPr>
      <w:rPr>
        <w:rFonts w:ascii="Symbol" w:hAnsi="Symbol" w:cs="Symbol" w:hint="default"/>
      </w:rPr>
    </w:lvl>
  </w:abstractNum>
  <w:abstractNum w:abstractNumId="8">
    <w:lvl w:ilvl="0">
      <w:start w:val="1"/>
      <w:numFmt w:val="bullet"/>
      <w:lvlText w:val=""/>
      <w:lvlJc w:val="start"/>
      <w:pPr>
        <w:tabs>
          <w:tab w:val="num" w:pos="504"/>
        </w:tabs>
        <w:ind w:start="504" w:hanging="360"/>
      </w:pPr>
      <w:rPr>
        <w:rFonts w:ascii="Wingdings" w:hAnsi="Wingdings" w:cs="Wingdings" w:hint="default"/>
        <w:sz w:val="16"/>
      </w:rPr>
    </w:lvl>
  </w:abstractNum>
  <w:abstractNum w:abstractNumId="9">
    <w:lvl w:ilvl="0">
      <w:start w:val="1"/>
      <w:numFmt w:val="bullet"/>
      <w:lvlText w:val=""/>
      <w:lvlJc w:val="start"/>
      <w:pPr>
        <w:tabs>
          <w:tab w:val="num" w:pos="288"/>
        </w:tabs>
        <w:ind w:start="216" w:hanging="288"/>
      </w:pPr>
      <w:rPr>
        <w:rFonts w:ascii="Symbol" w:hAnsi="Symbol" w:cs="Symbol" w:hint="default"/>
      </w:rPr>
    </w:lvl>
  </w:abstractNum>
  <w:abstractNum w:abstractNumId="10">
    <w:lvl w:ilvl="0">
      <w:start w:val="1"/>
      <w:numFmt w:val="bullet"/>
      <w:lvlText w:val=""/>
      <w:lvlJc w:val="start"/>
      <w:pPr>
        <w:tabs>
          <w:tab w:val="num" w:pos="432"/>
        </w:tabs>
        <w:ind w:start="360" w:hanging="28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u w:val="single"/>
    </w:rPr>
  </w:style>
  <w:style w:type="paragraph" w:styleId="Heading3">
    <w:name w:val="heading 3"/>
    <w:basedOn w:val="Normal"/>
    <w:next w:val="Normal"/>
    <w:qFormat/>
    <w:pPr>
      <w:keepNext w:val="true"/>
      <w:numPr>
        <w:ilvl w:val="2"/>
        <w:numId w:val="1"/>
      </w:numPr>
      <w:outlineLvl w:val="2"/>
    </w:pPr>
    <w:rPr>
      <w:b/>
      <w:bCs/>
      <w:i/>
      <w:iCs/>
    </w:rPr>
  </w:style>
  <w:style w:type="paragraph" w:styleId="Heading4">
    <w:name w:val="heading 4"/>
    <w:basedOn w:val="Normal"/>
    <w:next w:val="Normal"/>
    <w:qFormat/>
    <w:pPr>
      <w:keepNext w:val="true"/>
      <w:numPr>
        <w:ilvl w:val="3"/>
        <w:numId w:val="1"/>
      </w:numPr>
      <w:jc w:val="center"/>
      <w:outlineLvl w:val="3"/>
    </w:pPr>
    <w:rPr>
      <w:b/>
      <w:bCs/>
      <w:sz w:val="20"/>
    </w:rPr>
  </w:style>
  <w:style w:type="paragraph" w:styleId="Heading5">
    <w:name w:val="heading 5"/>
    <w:basedOn w:val="Normal"/>
    <w:next w:val="Normal"/>
    <w:qFormat/>
    <w:pPr>
      <w:keepNext w:val="true"/>
      <w:numPr>
        <w:ilvl w:val="4"/>
        <w:numId w:val="1"/>
      </w:numPr>
      <w:outlineLvl w:val="4"/>
    </w:pPr>
    <w:rPr>
      <w:b/>
      <w:bCs/>
      <w:u w:val="single"/>
    </w:rPr>
  </w:style>
  <w:style w:type="paragraph" w:styleId="Heading6">
    <w:name w:val="heading 6"/>
    <w:basedOn w:val="Normal"/>
    <w:next w:val="Normal"/>
    <w:qFormat/>
    <w:pPr>
      <w:keepNext w:val="true"/>
      <w:numPr>
        <w:ilvl w:val="5"/>
        <w:numId w:val="1"/>
      </w:numPr>
      <w:jc w:val="center"/>
      <w:outlineLvl w:val="5"/>
    </w:pPr>
    <w:rPr>
      <w:b/>
      <w:bCs/>
      <w:i/>
      <w:iCs/>
    </w:rPr>
  </w:style>
  <w:style w:type="paragraph" w:styleId="Heading7">
    <w:name w:val="heading 7"/>
    <w:basedOn w:val="Normal"/>
    <w:next w:val="Normal"/>
    <w:qFormat/>
    <w:pPr>
      <w:keepNext w:val="true"/>
      <w:numPr>
        <w:ilvl w:val="6"/>
        <w:numId w:val="1"/>
      </w:numPr>
      <w:ind w:hanging="0" w:start="144" w:end="0"/>
      <w:outlineLvl w:val="6"/>
    </w:pPr>
    <w:rPr>
      <w:b/>
      <w:bCs/>
      <w:sz w:val="22"/>
    </w:rPr>
  </w:style>
  <w:style w:type="paragraph" w:styleId="Heading8">
    <w:name w:val="heading 8"/>
    <w:basedOn w:val="Normal"/>
    <w:next w:val="Normal"/>
    <w:qFormat/>
    <w:pPr>
      <w:keepNext w:val="true"/>
      <w:numPr>
        <w:ilvl w:val="7"/>
        <w:numId w:val="1"/>
      </w:numPr>
      <w:outlineLvl w:val="7"/>
    </w:pPr>
    <w:rPr>
      <w:rFonts w:eastAsia="Arial Unicode MS"/>
      <w:sz w:val="22"/>
      <w:u w:val="single"/>
    </w:rPr>
  </w:style>
  <w:style w:type="paragraph" w:styleId="Heading9">
    <w:name w:val="heading 9"/>
    <w:basedOn w:val="Normal"/>
    <w:next w:val="Normal"/>
    <w:qFormat/>
    <w:pPr>
      <w:keepNext w:val="true"/>
      <w:numPr>
        <w:ilvl w:val="8"/>
        <w:numId w:val="1"/>
      </w:numPr>
      <w:outlineLvl w:val="8"/>
    </w:pPr>
    <w:rPr>
      <w:rFonts w:eastAsia="Arial Unicode MS"/>
      <w:b/>
      <w:b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Symbol" w:hAnsi="Symbol" w:cs="Symbol"/>
    </w:rPr>
  </w:style>
  <w:style w:type="character" w:styleId="WW8Num2z4">
    <w:name w:val="WW8Num2z4"/>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cs="Courier New"/>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b/>
      <w:i w:val="false"/>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b/>
      <w:i w:val="false"/>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0">
    <w:name w:val="WW8Num10z0"/>
    <w:qFormat/>
    <w:rPr>
      <w:rFonts w:ascii="Wingdings" w:hAnsi="Wingdings" w:cs="Wingdings"/>
      <w:sz w:val="16"/>
    </w:rPr>
  </w:style>
  <w:style w:type="character" w:styleId="WW8Num10z1">
    <w:name w:val="WW8Num10z1"/>
    <w:qFormat/>
    <w:rPr>
      <w:rFonts w:ascii="Symbol" w:hAnsi="Symbol" w:cs="Symbol"/>
    </w:rPr>
  </w:style>
  <w:style w:type="character" w:styleId="WW8Num10z4">
    <w:name w:val="WW8Num10z4"/>
    <w:qFormat/>
    <w:rPr>
      <w:rFonts w:ascii="Courier New" w:hAnsi="Courier New" w:cs="Courier New"/>
    </w:rPr>
  </w:style>
  <w:style w:type="character" w:styleId="WW8Num10z5">
    <w:name w:val="WW8Num10z5"/>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Times New Roman" w:hAnsi="Times New Roman" w:eastAsia="Times New Roman" w:cs="Times New Roman"/>
    </w:rPr>
  </w:style>
  <w:style w:type="character" w:styleId="WW8Num16z2">
    <w:name w:val="WW8Num16z2"/>
    <w:qFormat/>
    <w:rPr>
      <w:rFonts w:ascii="Wingdings" w:hAnsi="Wingdings" w:cs="Wingdings"/>
    </w:rPr>
  </w:style>
  <w:style w:type="character" w:styleId="WW8Num16z4">
    <w:name w:val="WW8Num16z4"/>
    <w:qFormat/>
    <w:rPr>
      <w:rFonts w:ascii="Courier New" w:hAnsi="Courier New" w:cs="Courier New"/>
    </w:rPr>
  </w:style>
  <w:style w:type="character" w:styleId="WW8Num17z0">
    <w:name w:val="WW8Num17z0"/>
    <w:qFormat/>
    <w:rPr>
      <w:rFonts w:ascii="Wingdings" w:hAnsi="Wingdings" w:cs="Wingdings"/>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sz w:val="16"/>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rPr>
  </w:style>
  <w:style w:type="paragraph" w:styleId="Subtitle">
    <w:name w:val="Subtitle"/>
    <w:basedOn w:val="Normal"/>
    <w:next w:val="BodyText"/>
    <w:qFormat/>
    <w:pPr/>
    <w:rPr>
      <w:b/>
      <w:bCs/>
      <w:u w:val="single"/>
    </w:rPr>
  </w:style>
  <w:style w:type="paragraph" w:styleId="BodyText3">
    <w:name w:val="Body Text 3"/>
    <w:basedOn w:val="Normal"/>
    <w:qFormat/>
    <w:pPr>
      <w:jc w:val="center"/>
    </w:pPr>
    <w:rPr>
      <w:rFonts w:eastAsia="Arial Unicode MS"/>
      <w:sz w:val="20"/>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2001-05-30T14:54:00Z</dcterms:created>
  <dc:creator>jthome</dc:creator>
  <dc:description/>
  <dc:language>en-CA</dc:language>
  <cp:lastModifiedBy>jthome</cp:lastModifiedBy>
  <cp:lastPrinted>2001-05-25T10:03:00Z</cp:lastPrinted>
  <dcterms:modified xsi:type="dcterms:W3CDTF">2001-05-30T14:54:00Z</dcterms:modified>
  <cp:revision>2</cp:revision>
  <dc:subject/>
  <dc:title>-Current and projected interstate pipeline capacity</dc:title>
</cp:coreProperties>
</file>