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 w:end="-504"/>
        <w:rPr>
          <w:sz w:val="30"/>
        </w:rPr>
      </w:pPr>
      <w:r>
        <w:rPr>
          <w:sz w:val="30"/>
        </w:rPr>
        <w:t>California’s Energy Crisis</w:t>
      </w:r>
    </w:p>
    <w:p>
      <w:pPr>
        <w:pStyle w:val="BodyText"/>
        <w:ind w:start="-360" w:end="-504"/>
        <w:rPr>
          <w:sz w:val="30"/>
        </w:rPr>
      </w:pPr>
      <w:r>
        <w:rPr>
          <w:sz w:val="30"/>
        </w:rPr>
        <w:t>Threatens California’s Businesses and Economy</w:t>
      </w:r>
    </w:p>
    <w:p>
      <w:pPr>
        <w:pStyle w:val="Normal"/>
        <w:shd w:fill="000000" w:val="clear"/>
        <w:ind w:start="-360" w:end="-504"/>
        <w:jc w:val="center"/>
        <w:rPr>
          <w:rFonts w:ascii="Arial Black" w:hAnsi="Arial Black" w:cs="Arial Black"/>
          <w:sz w:val="8"/>
        </w:rPr>
      </w:pPr>
      <w:r>
        <w:rPr>
          <w:rFonts w:cs="Arial Black" w:ascii="Arial Black" w:hAnsi="Arial Black"/>
          <w:sz w:val="8"/>
        </w:rPr>
      </w:r>
    </w:p>
    <w:p>
      <w:pPr>
        <w:pStyle w:val="Heading2"/>
        <w:ind w:hanging="0" w:start="0"/>
        <w:rPr>
          <w:rFonts w:ascii="Arial Black" w:hAnsi="Arial Black" w:cs="Arial Black"/>
          <w:spacing w:val="20"/>
          <w:sz w:val="20"/>
        </w:rPr>
      </w:pPr>
      <w:r>
        <w:rPr>
          <w:rFonts w:cs="Arial Black" w:ascii="Arial Black" w:hAnsi="Arial Black"/>
          <w:spacing w:val="20"/>
          <w:sz w:val="20"/>
        </w:rPr>
      </w:r>
    </w:p>
    <w:p>
      <w:pPr>
        <w:pStyle w:val="Heading4"/>
        <w:rPr>
          <w:rFonts w:ascii="Arial Black" w:hAnsi="Arial Black" w:cs="Arial Black"/>
        </w:rPr>
      </w:pPr>
      <w:r>
        <w:rPr>
          <w:rFonts w:cs="Arial Black" w:ascii="Arial Black" w:hAnsi="Arial Black"/>
        </w:rPr>
        <w:t>Blackouts and energy shortages are bad for business in California</w:t>
      </w:r>
    </w:p>
    <w:p>
      <w:pPr>
        <w:pStyle w:val="Normal"/>
        <w:ind w:hanging="720" w:start="720" w:end="0"/>
        <w:rPr>
          <w:rFonts w:ascii="Arial Black" w:hAnsi="Arial Black" w:cs="Arial Black"/>
        </w:rPr>
      </w:pPr>
      <w:r>
        <w:rPr>
          <w:rFonts w:cs="Arial Black" w:ascii="Arial Black" w:hAnsi="Arial Black"/>
        </w:rPr>
      </w:r>
    </w:p>
    <w:p>
      <w:pPr>
        <w:pStyle w:val="Normal"/>
        <w:ind w:firstLine="720" w:end="0"/>
        <w:jc w:val="both"/>
        <w:rPr/>
      </w:pPr>
      <w:r>
        <w:rPr/>
        <w:t xml:space="preserve">California’s energy crisis has cost state businesses </w:t>
      </w:r>
      <w:r>
        <w:rPr>
          <w:b/>
          <w:bCs/>
        </w:rPr>
        <w:t>billions</w:t>
      </w:r>
      <w:r>
        <w:rPr/>
        <w:t xml:space="preserve"> of dollars. The manufacturing and high-tech industries are especially vulnerable - one estimate found Silicon Valley lost at least $75 million per day during the January 2001 blackouts. The devastation of the crisis in terms of hindering economic growth, loss of jobs, discouraging tourism and damaging consumer confidence may be less quantifiable but no less severe. Moreover, as California is the 6th largest economy in the world and responsible for at least 13 percent of the nation’s gross domestic product (GDP), the crisis threatens to penetrate state borders. </w:t>
      </w:r>
    </w:p>
    <w:p>
      <w:pPr>
        <w:pStyle w:val="Normal"/>
        <w:rPr/>
      </w:pPr>
      <w:r>
        <w:rPr/>
      </w:r>
    </w:p>
    <w:p>
      <w:pPr>
        <w:pStyle w:val="Heading4"/>
        <w:jc w:val="start"/>
        <w:rPr>
          <w:rFonts w:ascii="Arial Black" w:hAnsi="Arial Black" w:cs="Arial Black"/>
          <w:u w:val="single"/>
        </w:rPr>
      </w:pPr>
      <w:r>
        <w:rPr>
          <w:rFonts w:cs="Arial Black" w:ascii="Arial Black" w:hAnsi="Arial Black"/>
          <w:u w:val="single"/>
        </w:rPr>
        <w:t>Costs</w:t>
      </w:r>
    </w:p>
    <w:p>
      <w:pPr>
        <w:pStyle w:val="Normal"/>
        <w:rPr>
          <w:rFonts w:ascii="Arial Black" w:hAnsi="Arial Black" w:cs="Arial Black"/>
          <w:u w:val="single"/>
        </w:rPr>
      </w:pPr>
      <w:r>
        <w:rPr>
          <w:rFonts w:cs="Arial Black" w:ascii="Arial Black" w:hAnsi="Arial Black"/>
          <w:u w:val="single"/>
        </w:rPr>
      </w:r>
    </w:p>
    <w:p>
      <w:pPr>
        <w:pStyle w:val="Normal"/>
        <w:numPr>
          <w:ilvl w:val="0"/>
          <w:numId w:val="2"/>
        </w:numPr>
        <w:rPr>
          <w:b/>
          <w:bCs/>
        </w:rPr>
      </w:pPr>
      <w:r>
        <w:rPr>
          <w:b/>
          <w:bCs/>
        </w:rPr>
        <w:t>Depletion of State Financial Resources:</w:t>
      </w:r>
      <w:r>
        <w:rPr/>
        <w:t xml:space="preserve"> California’s budget surplus has been slashed from $8.5 billion to about $3.2 billion as the state continues to spend approximately $50 million/day for power purchases.  Moreover, California’s misguided pursuit of buying off the utilities’ transmission assets will only hasten the bleeding of dwindling financial resources.</w:t>
      </w:r>
    </w:p>
    <w:p>
      <w:pPr>
        <w:pStyle w:val="Normal"/>
        <w:rPr>
          <w:b/>
          <w:bCs/>
        </w:rPr>
      </w:pPr>
      <w:r>
        <w:rPr>
          <w:b/>
          <w:bCs/>
        </w:rPr>
      </w:r>
    </w:p>
    <w:p>
      <w:pPr>
        <w:pStyle w:val="Normal"/>
        <w:numPr>
          <w:ilvl w:val="0"/>
          <w:numId w:val="2"/>
        </w:numPr>
        <w:rPr/>
      </w:pPr>
      <w:r>
        <w:rPr>
          <w:b/>
          <w:bCs/>
        </w:rPr>
        <w:t xml:space="preserve">Soaring Prices/Contraction of Growth: </w:t>
      </w:r>
      <w:r>
        <w:rPr/>
        <w:t>With a possible 50 percent increase in electricity rates needed to begin to bail out California’s two largest utilities, the state’s consumer price index (CPI) is expected to rise as the record-setting growth under which California has flourished over the last decade is stifled. According to one estimate, California could lose 250,000 jobs over the next decade if rates were increased significantly.</w:t>
      </w:r>
    </w:p>
    <w:p>
      <w:pPr>
        <w:pStyle w:val="Normal"/>
        <w:ind w:start="360" w:end="0"/>
        <w:rPr>
          <w:b/>
          <w:bCs/>
        </w:rPr>
      </w:pPr>
      <w:r>
        <w:rPr>
          <w:b/>
          <w:bCs/>
        </w:rPr>
      </w:r>
    </w:p>
    <w:p>
      <w:pPr>
        <w:pStyle w:val="Normal"/>
        <w:numPr>
          <w:ilvl w:val="0"/>
          <w:numId w:val="2"/>
        </w:numPr>
        <w:rPr>
          <w:b/>
          <w:bCs/>
        </w:rPr>
      </w:pPr>
      <w:r>
        <w:rPr>
          <w:b/>
          <w:bCs/>
        </w:rPr>
        <w:t xml:space="preserve">Integrity of State and Utilities: </w:t>
      </w:r>
      <w:r>
        <w:rPr/>
        <w:t xml:space="preserve">Standard &amp; Poor’s placed California on CreditWatch with negative implications, meaning that the state’s credit rating may be lowered.  PG&amp;E and SoCalEd teeter on the brink of bankruptcy under $14 billion in combined debt and credit and debt ratings downgraded to junk-bond status.  </w:t>
      </w:r>
    </w:p>
    <w:p>
      <w:pPr>
        <w:pStyle w:val="Normal"/>
        <w:rPr>
          <w:b/>
          <w:bCs/>
        </w:rPr>
      </w:pPr>
      <w:r>
        <w:rPr>
          <w:b/>
          <w:bCs/>
        </w:rPr>
      </w:r>
    </w:p>
    <w:p>
      <w:pPr>
        <w:pStyle w:val="Normal"/>
        <w:numPr>
          <w:ilvl w:val="0"/>
          <w:numId w:val="2"/>
        </w:numPr>
        <w:rPr>
          <w:b/>
          <w:bCs/>
        </w:rPr>
      </w:pPr>
      <w:r>
        <w:rPr>
          <w:b/>
          <w:bCs/>
        </w:rPr>
        <w:t>Displacement of Employment Opportunities:</w:t>
      </w:r>
      <w:r>
        <w:rPr/>
        <w:t xml:space="preserve"> Companies such as Intel have declared they will halt expansion in California in favor of states with reliable energy supplies, while outside states launch aggressive campaigns to lure business out of the state with the promise of reliable energy supplies at reasonable and predictable prices. </w:t>
      </w:r>
    </w:p>
    <w:p>
      <w:pPr>
        <w:pStyle w:val="Normal"/>
        <w:rPr>
          <w:b/>
          <w:bCs/>
        </w:rPr>
      </w:pPr>
      <w:r>
        <w:rPr>
          <w:b/>
          <w:bCs/>
        </w:rPr>
      </w:r>
    </w:p>
    <w:p>
      <w:pPr>
        <w:pStyle w:val="Normal"/>
        <w:numPr>
          <w:ilvl w:val="0"/>
          <w:numId w:val="2"/>
        </w:numPr>
        <w:rPr>
          <w:rFonts w:ascii="Arial Unicode MS" w:hAnsi="Arial Unicode MS" w:eastAsia="Arial Unicode MS" w:cs="Arial Unicode MS"/>
          <w:vanish/>
        </w:rPr>
      </w:pPr>
      <w:r>
        <w:rPr>
          <w:b/>
          <w:bCs/>
        </w:rPr>
        <w:t xml:space="preserve">Dependence on Spot Market:  </w:t>
      </w:r>
      <w:r>
        <w:rPr/>
        <w:t xml:space="preserve">The state has irresponsibly forced utilities to purchase power on the volatile and expensive spot market, instead of locking in lower prices and mitigating risk through long-term contracts. Making matters worse, the California Department of Water Resources, instructed to purchase power on behalf of the state, has reportedly overpaid for power due to the agency’s inexperience in power purchasing.  </w:t>
      </w:r>
    </w:p>
    <w:p>
      <w:pPr>
        <w:pStyle w:val="Normal"/>
        <w:rPr>
          <w:rFonts w:ascii="Arial Unicode MS" w:hAnsi="Arial Unicode MS" w:eastAsia="Arial Unicode MS" w:cs="Arial Unicode MS"/>
          <w:vanish/>
        </w:rPr>
      </w:pPr>
      <w:r>
        <w:rPr>
          <w:rFonts w:eastAsia="Arial Unicode MS" w:cs="Arial Unicode MS" w:ascii="Arial Unicode MS" w:hAnsi="Arial Unicode MS"/>
          <w:vanish/>
        </w:rPr>
      </w:r>
    </w:p>
    <w:p>
      <w:pPr>
        <w:pStyle w:val="Normal"/>
        <w:rPr>
          <w:rFonts w:ascii="Arial Unicode MS" w:hAnsi="Arial Unicode MS" w:eastAsia="Arial Unicode MS" w:cs="Arial Unicode MS"/>
          <w:vanish/>
        </w:rPr>
      </w:pPr>
      <w:r>
        <w:rPr>
          <w:rFonts w:eastAsia="Arial Unicode MS" w:cs="Arial Unicode MS" w:ascii="Arial Unicode MS" w:hAnsi="Arial Unicode MS"/>
          <w:vanish/>
        </w:rPr>
      </w:r>
    </w:p>
    <w:p>
      <w:pPr>
        <w:pStyle w:val="Normal"/>
        <w:rPr>
          <w:rFonts w:ascii="Arial Unicode MS" w:hAnsi="Arial Unicode MS" w:eastAsia="Arial Unicode MS" w:cs="Arial Unicode MS"/>
          <w:vanish/>
        </w:rPr>
      </w:pPr>
      <w:r>
        <w:rPr>
          <w:rFonts w:eastAsia="Arial Unicode MS" w:cs="Arial Unicode MS" w:ascii="Arial Unicode MS" w:hAnsi="Arial Unicode MS"/>
          <w:vanish/>
        </w:rPr>
      </w:r>
    </w:p>
    <w:p>
      <w:pPr>
        <w:pStyle w:val="Normal"/>
        <w:rPr>
          <w:rFonts w:ascii="Arial Unicode MS" w:hAnsi="Arial Unicode MS" w:eastAsia="Arial Unicode MS" w:cs="Arial Unicode MS"/>
          <w:vanish/>
          <w:szCs w:val="28"/>
        </w:rPr>
      </w:pPr>
      <w:r>
        <w:rPr>
          <w:rFonts w:eastAsia="Arial Unicode MS" w:cs="Arial Unicode MS" w:ascii="Arial Unicode MS" w:hAnsi="Arial Unicode MS"/>
          <w:vanish/>
          <w:szCs w:val="28"/>
        </w:rPr>
      </w:r>
    </w:p>
    <w:p>
      <w:pPr>
        <w:pStyle w:val="Normal"/>
        <w:numPr>
          <w:ilvl w:val="0"/>
          <w:numId w:val="2"/>
        </w:numPr>
        <w:rPr>
          <w:rFonts w:ascii="Arial Unicode MS" w:hAnsi="Arial Unicode MS" w:eastAsia="Arial Unicode MS" w:cs="Arial Unicode MS"/>
          <w:vanish/>
        </w:rPr>
      </w:pPr>
      <w:r>
        <w:rPr>
          <w:b/>
          <w:bCs/>
        </w:rPr>
        <w:t xml:space="preserve">Persisting Shortfall: </w:t>
      </w:r>
      <w:r>
        <w:rPr/>
        <w:t>Given projected energy expenditures over the next 18 months, the state Controller is predicting California</w:t>
      </w:r>
      <w:r>
        <w:rPr>
          <w:szCs w:val="28"/>
        </w:rPr>
        <w:t xml:space="preserve"> will see a deficit of $7.4 billion even assuming the state receives 75 percent of proposed rate hike revenues and a maximum bond financing of $12.4 billion.</w:t>
      </w:r>
    </w:p>
    <w:p>
      <w:pPr>
        <w:pStyle w:val="Normal"/>
        <w:numPr>
          <w:ilvl w:val="0"/>
          <w:numId w:val="2"/>
        </w:numPr>
        <w:rPr/>
      </w:pPr>
      <w:r>
        <w:rPr>
          <w:rFonts w:eastAsia="Arial Unicode MS" w:cs="Arial Unicode MS" w:ascii="Arial Unicode MS" w:hAnsi="Arial Unicode MS"/>
          <w:vanish/>
        </w:rPr>
      </w:r>
    </w:p>
    <w:p>
      <w:pPr>
        <w:pStyle w:val="Normal"/>
        <w:rPr>
          <w:b/>
          <w:bCs/>
        </w:rPr>
      </w:pPr>
      <w:r>
        <w:rPr>
          <w:b/>
          <w:bCs/>
        </w:rPr>
      </w:r>
    </w:p>
    <w:sectPr>
      <w:type w:val="nextPage"/>
      <w:pgSz w:w="12240" w:h="15840"/>
      <w:pgMar w:left="1152" w:right="1152"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720" w:start="720" w:end="0"/>
      <w:jc w:val="center"/>
      <w:outlineLvl w:val="3"/>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2001-03-21T13:50:00Z</dcterms:created>
  <dc:creator>jthome</dc:creator>
  <dc:description/>
  <dc:language>en-CA</dc:language>
  <cp:lastModifiedBy>jguerre</cp:lastModifiedBy>
  <cp:lastPrinted>2001-03-30T16:58:00Z</cp:lastPrinted>
  <dcterms:modified xsi:type="dcterms:W3CDTF">2001-04-02T18:16:00Z</dcterms:modified>
  <cp:revision>16</cp:revision>
  <dc:subject/>
  <dc:title>California’s Energy Crisis Costs </dc:title>
</cp:coreProperties>
</file>