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September 19, 2001 ("</w:t>
      </w:r>
      <w:r>
        <w:rPr>
          <w:sz w:val="20"/>
          <w:u w:val="single"/>
        </w:rPr>
        <w:t>Master Agreement</w:t>
      </w:r>
      <w:r>
        <w:rPr>
          <w:sz w:val="20"/>
        </w:rPr>
        <w:t>") under the following terms and conditions (capitalized terms used herein but not defined have the meanings given in the Master Agreement).  Transaction Number 001.</w:t>
      </w:r>
    </w:p>
    <w:p>
      <w:pPr>
        <w:pStyle w:val="Normal"/>
        <w:widowControl w:val="false"/>
        <w:jc w:val="both"/>
        <w:rPr>
          <w:sz w:val="20"/>
        </w:rPr>
      </w:pPr>
      <w:r>
        <w:rPr>
          <w:sz w:val="20"/>
        </w:rPr>
      </w:r>
    </w:p>
    <w:tbl>
      <w:tblPr>
        <w:tblW w:w="10102" w:type="dxa"/>
        <w:jc w:val="center"/>
        <w:tblInd w:w="0" w:type="dxa"/>
        <w:tblLayout w:type="fixed"/>
        <w:tblCellMar>
          <w:top w:w="0" w:type="dxa"/>
          <w:start w:w="108" w:type="dxa"/>
          <w:bottom w:w="0" w:type="dxa"/>
          <w:end w:w="108" w:type="dxa"/>
        </w:tblCellMar>
      </w:tblPr>
      <w:tblGrid>
        <w:gridCol w:w="2809"/>
        <w:gridCol w:w="3"/>
        <w:gridCol w:w="7287"/>
        <w:gridCol w:w="3"/>
      </w:tblGrid>
      <w:tr>
        <w:trPr/>
        <w:tc>
          <w:tcPr>
            <w:tcW w:w="2812" w:type="dxa"/>
            <w:gridSpan w:val="2"/>
            <w:tcBorders/>
          </w:tcPr>
          <w:p>
            <w:pPr>
              <w:pStyle w:val="Normal"/>
              <w:widowControl w:val="false"/>
              <w:rPr>
                <w:b/>
                <w:sz w:val="20"/>
              </w:rPr>
            </w:pPr>
            <w:r>
              <w:rPr>
                <w:b/>
                <w:sz w:val="20"/>
              </w:rPr>
              <w:t>FACILITIES AND ACCOUNTS:</w:t>
            </w:r>
          </w:p>
        </w:tc>
        <w:tc>
          <w:tcPr>
            <w:tcW w:w="7290" w:type="dxa"/>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812" w:type="dxa"/>
            <w:gridSpan w:val="2"/>
            <w:tcBorders/>
          </w:tcPr>
          <w:p>
            <w:pPr>
              <w:pStyle w:val="Normal"/>
              <w:widowControl w:val="false"/>
              <w:snapToGrid w:val="false"/>
              <w:jc w:val="both"/>
              <w:rPr>
                <w:b/>
                <w:sz w:val="20"/>
              </w:rPr>
            </w:pPr>
            <w:r>
              <w:rPr>
                <w:b/>
                <w:sz w:val="20"/>
              </w:rPr>
            </w:r>
          </w:p>
        </w:tc>
        <w:tc>
          <w:tcPr>
            <w:tcW w:w="7290" w:type="dxa"/>
            <w:tcBorders/>
          </w:tcPr>
          <w:p>
            <w:pPr>
              <w:pStyle w:val="Normal"/>
              <w:widowControl w:val="false"/>
              <w:snapToGrid w:val="false"/>
              <w:jc w:val="both"/>
              <w:rPr>
                <w:b/>
                <w:sz w:val="20"/>
              </w:rPr>
            </w:pPr>
            <w:r>
              <w:rPr>
                <w:b/>
                <w:sz w:val="20"/>
              </w:rPr>
            </w:r>
          </w:p>
        </w:tc>
      </w:tr>
      <w:tr>
        <w:trPr/>
        <w:tc>
          <w:tcPr>
            <w:tcW w:w="2812" w:type="dxa"/>
            <w:gridSpan w:val="2"/>
            <w:tcBorders/>
          </w:tcPr>
          <w:p>
            <w:pPr>
              <w:pStyle w:val="Normal"/>
              <w:widowControl w:val="false"/>
              <w:jc w:val="both"/>
              <w:rPr>
                <w:b/>
                <w:sz w:val="20"/>
              </w:rPr>
            </w:pPr>
            <w:r>
              <w:rPr>
                <w:b/>
                <w:sz w:val="20"/>
              </w:rPr>
              <w:t>TRANSACTION TERM:</w:t>
            </w:r>
          </w:p>
        </w:tc>
        <w:tc>
          <w:tcPr>
            <w:tcW w:w="7290" w:type="dxa"/>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November 1, 2001 and will continue until the Utility Transfer Date occurring closest to October 31, 2004, but in no event later than the end of the Billing Cycle including such date.  </w:t>
            </w:r>
          </w:p>
        </w:tc>
      </w:tr>
      <w:tr>
        <w:trPr/>
        <w:tc>
          <w:tcPr>
            <w:tcW w:w="2812" w:type="dxa"/>
            <w:gridSpan w:val="2"/>
            <w:tcBorders/>
          </w:tcPr>
          <w:p>
            <w:pPr>
              <w:pStyle w:val="Normal"/>
              <w:widowControl w:val="false"/>
              <w:snapToGrid w:val="false"/>
              <w:jc w:val="both"/>
              <w:rPr>
                <w:sz w:val="20"/>
              </w:rPr>
            </w:pPr>
            <w:r>
              <w:rPr>
                <w:sz w:val="20"/>
              </w:rPr>
            </w:r>
          </w:p>
        </w:tc>
        <w:tc>
          <w:tcPr>
            <w:tcW w:w="7290" w:type="dxa"/>
            <w:tcBorders/>
          </w:tcPr>
          <w:p>
            <w:pPr>
              <w:pStyle w:val="Normal"/>
              <w:widowControl w:val="false"/>
              <w:snapToGrid w:val="false"/>
              <w:jc w:val="both"/>
              <w:rPr>
                <w:sz w:val="20"/>
              </w:rPr>
            </w:pPr>
            <w:r>
              <w:rPr>
                <w:sz w:val="20"/>
              </w:rPr>
            </w:r>
          </w:p>
        </w:tc>
      </w:tr>
      <w:tr>
        <w:trPr/>
        <w:tc>
          <w:tcPr>
            <w:tcW w:w="2809" w:type="dxa"/>
            <w:tcBorders/>
          </w:tcPr>
          <w:p>
            <w:pPr>
              <w:pStyle w:val="Normal"/>
              <w:widowControl w:val="false"/>
              <w:rPr>
                <w:sz w:val="20"/>
              </w:rPr>
            </w:pPr>
            <w:r>
              <w:rPr>
                <w:b/>
                <w:sz w:val="20"/>
              </w:rPr>
              <w:t>TERMINATION FOR FAILURE TO OBTAIN DIRECT ACCESS SERVICE:</w:t>
            </w:r>
          </w:p>
        </w:tc>
        <w:tc>
          <w:tcPr>
            <w:tcW w:w="7290" w:type="dxa"/>
            <w:gridSpan w:val="2"/>
            <w:tcBorders/>
          </w:tcPr>
          <w:p>
            <w:pPr>
              <w:pStyle w:val="Normal"/>
              <w:widowControl w:val="false"/>
              <w:jc w:val="both"/>
              <w:rPr>
                <w:sz w:val="20"/>
              </w:rPr>
            </w:pPr>
            <w:r>
              <w:rPr>
                <w:sz w:val="20"/>
              </w:rPr>
              <w:t>Notwithstanding anything in the Agreement to the contrary, if, during the first 7 Business Days after this Transaction is effective, (i) we have not received notification from the applicable Utility that a direct access service request submitted by us with respect to any Account has been accepted by the Utility; or (ii) a Change in Law occurs which prevents, or would be reasonably likely to prevent, us from transferring any Account to direct access service, we may terminate this Transaction as to any Account that we are unable to transfer to direct access service.  Such termination will be effective immediately upon written notice to you, and neither Party shall incur any liability to the other Party as result of termination under this provision, including the payment of an Early Termination Payment.  In the case of a termination under this provision, any Account(s) so terminated will be deleted from Schedule 1, and this Transaction will remain in full force and effect for any Account(s) not so terminated. We may elect to extend the 7 Business Day period set forth above for up to an additional 7 Business Days upon written notice to you within such initial 7 Business Day period. Any notice under this provision shall be by facsimile or electronic mail and will be deemed to be received when transmitted.</w:t>
            </w:r>
          </w:p>
        </w:tc>
      </w:tr>
      <w:tr>
        <w:trPr/>
        <w:tc>
          <w:tcPr>
            <w:tcW w:w="2809" w:type="dxa"/>
            <w:tcBorders/>
          </w:tcPr>
          <w:p>
            <w:pPr>
              <w:pStyle w:val="Normal"/>
              <w:widowControl w:val="false"/>
              <w:snapToGrid w:val="false"/>
              <w:jc w:val="both"/>
              <w:rPr>
                <w:b/>
                <w:sz w:val="20"/>
              </w:rPr>
            </w:pPr>
            <w:r>
              <w:rPr>
                <w:b/>
                <w:sz w:val="20"/>
              </w:rPr>
            </w:r>
          </w:p>
        </w:tc>
        <w:tc>
          <w:tcPr>
            <w:tcW w:w="7290" w:type="dxa"/>
            <w:gridSpan w:val="2"/>
            <w:tcBorders/>
          </w:tcPr>
          <w:p>
            <w:pPr>
              <w:pStyle w:val="Normal"/>
              <w:widowControl w:val="false"/>
              <w:snapToGrid w:val="false"/>
              <w:jc w:val="both"/>
              <w:rPr>
                <w:b/>
                <w:sz w:val="20"/>
              </w:rPr>
            </w:pPr>
            <w:r>
              <w:rPr>
                <w:b/>
                <w:sz w:val="20"/>
              </w:rPr>
            </w:r>
          </w:p>
        </w:tc>
      </w:tr>
      <w:tr>
        <w:trPr/>
        <w:tc>
          <w:tcPr>
            <w:tcW w:w="2809" w:type="dxa"/>
            <w:tcBorders/>
          </w:tcPr>
          <w:p>
            <w:pPr>
              <w:pStyle w:val="Normal"/>
              <w:widowControl w:val="false"/>
              <w:rPr>
                <w:b/>
                <w:sz w:val="20"/>
              </w:rPr>
            </w:pPr>
            <w:r>
              <w:rPr>
                <w:b/>
                <w:color w:val="000000"/>
                <w:sz w:val="20"/>
              </w:rPr>
              <w:t>OTHER EARLY TERMINATION:</w:t>
            </w:r>
          </w:p>
        </w:tc>
        <w:tc>
          <w:tcPr>
            <w:tcW w:w="7290" w:type="dxa"/>
            <w:gridSpan w:val="2"/>
            <w:tcBorders/>
          </w:tcPr>
          <w:p>
            <w:pPr>
              <w:pStyle w:val="Normal"/>
              <w:widowControl w:val="false"/>
              <w:jc w:val="both"/>
              <w:rPr>
                <w:sz w:val="20"/>
              </w:rPr>
            </w:pPr>
            <w:r>
              <w:rPr>
                <w:color w:val="000000"/>
                <w:sz w:val="20"/>
              </w:rPr>
              <w:t>Notwithstanding anything in the Agreement to the contrary, at any time during the period between the date this Transaction is effective and 1:00 p.m., Central Time, on September 28, 2001, either Party may terminate this Transaction for any reason by written notice to the other Party.  Such termination will be effective immediately upon such written notice, and neither Party shall incur any liability to the other Party as a result of termination under this provision, including the payment of an Early Termination Payment.  Any notice provided under this provision shall be made by facsimile or electronic mail and shall be deemed received when transmitted.</w:t>
            </w:r>
          </w:p>
        </w:tc>
      </w:tr>
      <w:tr>
        <w:trPr/>
        <w:tc>
          <w:tcPr>
            <w:tcW w:w="2812" w:type="dxa"/>
            <w:gridSpan w:val="2"/>
            <w:tcBorders/>
          </w:tcPr>
          <w:p>
            <w:pPr>
              <w:pStyle w:val="Normal"/>
              <w:widowControl w:val="false"/>
              <w:snapToGrid w:val="false"/>
              <w:jc w:val="both"/>
              <w:rPr>
                <w:sz w:val="20"/>
              </w:rPr>
            </w:pPr>
            <w:r>
              <w:rPr>
                <w:sz w:val="20"/>
              </w:rPr>
            </w:r>
          </w:p>
        </w:tc>
        <w:tc>
          <w:tcPr>
            <w:tcW w:w="7290" w:type="dxa"/>
            <w:tcBorders/>
          </w:tcPr>
          <w:p>
            <w:pPr>
              <w:pStyle w:val="Normal"/>
              <w:widowControl w:val="false"/>
              <w:snapToGrid w:val="false"/>
              <w:jc w:val="both"/>
              <w:rPr>
                <w:sz w:val="20"/>
              </w:rPr>
            </w:pPr>
            <w:r>
              <w:rPr>
                <w:sz w:val="20"/>
              </w:rPr>
            </w:r>
          </w:p>
        </w:tc>
      </w:tr>
      <w:tr>
        <w:trPr/>
        <w:tc>
          <w:tcPr>
            <w:tcW w:w="2812" w:type="dxa"/>
            <w:gridSpan w:val="2"/>
            <w:tcBorders/>
          </w:tcPr>
          <w:p>
            <w:pPr>
              <w:pStyle w:val="Normal"/>
              <w:widowControl w:val="false"/>
              <w:jc w:val="both"/>
              <w:rPr>
                <w:b/>
                <w:sz w:val="20"/>
              </w:rPr>
            </w:pPr>
            <w:r>
              <w:rPr>
                <w:b/>
                <w:sz w:val="20"/>
              </w:rPr>
              <w:t>PRICE:</w:t>
            </w:r>
          </w:p>
        </w:tc>
        <w:tc>
          <w:tcPr>
            <w:tcW w:w="7290" w:type="dxa"/>
            <w:tcBorders/>
          </w:tcPr>
          <w:p>
            <w:pPr>
              <w:pStyle w:val="Normal"/>
              <w:widowControl w:val="false"/>
              <w:jc w:val="both"/>
              <w:rPr>
                <w:sz w:val="20"/>
              </w:rPr>
            </w:pPr>
            <w:r>
              <w:rPr>
                <w:sz w:val="20"/>
              </w:rPr>
              <w:t>During each Billing Cycle or portion thereof during the Transaction Term, regardless of whether the energy requirements of the Accounts are being supplied by us or the applicable Utility, you will pay us an amount for each Account equal to the sum of (a) the product of (i) such Account's Actual Usage multiplied by (ii) the EESI Energy Price; plus (b) the Special DA Charges.  The EESI Energy Price is inclusive of all non-Utility charges arising from uplifts, ancillary services, losses, congestion and other ISO charges or administrative fees incurred in connection with delivery of energy to the ISO.  The EESI Energy Price does not include, and you will be responsible for and pay, or reimburse us if we have paid, any ICAP Charges, Initial Exit Fees, T&amp;D Charges, Special Utility Charges and Taxes.</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widowControl w:val="false"/>
              <w:ind w:start="522" w:end="0"/>
              <w:jc w:val="both"/>
              <w:rPr/>
            </w:pPr>
            <w:r>
              <w:rPr>
                <w:sz w:val="20"/>
              </w:rPr>
              <w:t>"</w:t>
            </w:r>
            <w:r>
              <w:rPr>
                <w:sz w:val="20"/>
                <w:u w:val="single"/>
              </w:rPr>
              <w:t>EESI Energy Price</w:t>
            </w:r>
            <w:r>
              <w:rPr>
                <w:sz w:val="20"/>
              </w:rPr>
              <w:t>" means $0.0[      ] per kWh.</w:t>
            </w:r>
          </w:p>
          <w:p>
            <w:pPr>
              <w:pStyle w:val="Normal"/>
              <w:widowControl w:val="false"/>
              <w:ind w:start="522" w:end="0"/>
              <w:jc w:val="both"/>
              <w:rPr/>
            </w:pPr>
            <w:r>
              <w:rPr>
                <w:sz w:val="20"/>
              </w:rPr>
              <w:t>"</w:t>
            </w:r>
            <w:r>
              <w:rPr>
                <w:sz w:val="20"/>
                <w:u w:val="single"/>
              </w:rPr>
              <w:t>Initial Exit Fees</w:t>
            </w:r>
            <w:r>
              <w:rPr>
                <w:sz w:val="20"/>
              </w:rPr>
              <w:t>" means any fees or charges imposed by a Utility or T&amp;D Provider under applicable Law or Rules for the transfer of an Account from bundled Utility service (or service from another Competitive Supplier) to direct service by EESI, however and whenever imposed or authorized, and however styled, but only relative to the first such transfer of each Account occurring on the Utility Transfer Date closest to the commencement of this Transaction or any other time during the Transaction Term and for no other such transfer.</w:t>
            </w:r>
          </w:p>
          <w:p>
            <w:pPr>
              <w:pStyle w:val="Normal"/>
              <w:widowControl w:val="false"/>
              <w:ind w:start="522" w:end="0"/>
              <w:jc w:val="both"/>
              <w:rPr/>
            </w:pPr>
            <w:r>
              <w:rPr>
                <w:sz w:val="20"/>
              </w:rPr>
              <w:t>"</w:t>
            </w:r>
            <w:r>
              <w:rPr>
                <w:sz w:val="20"/>
                <w:u w:val="single"/>
              </w:rPr>
              <w:t>ICAP Charges</w:t>
            </w:r>
            <w:r>
              <w:rPr>
                <w:sz w:val="20"/>
              </w:rPr>
              <w:t>" means charges imposed by a Utility or T&amp;D Provider for installed capacity, planning reserve capacity or similar charges, as defined by applicable Law and Rules.</w:t>
            </w:r>
          </w:p>
          <w:p>
            <w:pPr>
              <w:pStyle w:val="Normal"/>
              <w:widowControl w:val="false"/>
              <w:ind w:start="522" w:end="0"/>
              <w:jc w:val="both"/>
              <w:rPr/>
            </w:pPr>
            <w:r>
              <w:rPr>
                <w:sz w:val="20"/>
              </w:rPr>
              <w:t>"</w:t>
            </w:r>
            <w:r>
              <w:rPr>
                <w:sz w:val="20"/>
                <w:u w:val="single"/>
              </w:rPr>
              <w:t>Special DA Charges</w:t>
            </w:r>
            <w:r>
              <w:rPr>
                <w:sz w:val="20"/>
              </w:rPr>
              <w:t>" means any charges, fees, assessments, adders or surcharges imposed or authorized by any Governmental Authority on "direct access" customers (regardless of whether any such charge is also imposed on other classes or types of customers), however styled or payable, that are related to (i) a Utility’s, ISO’s or Governmental Authority’s energy procurement, including, without limitation, charges for system reliability, rate recovery, future payback of under-collections, amortization of above market purchases and energy load repurchases; or (ii) public purpose programs, including, without limitation, environmental, social/low income, renewable energy utilization, and demand side management programs.  Such charges will apply</w:t>
            </w:r>
            <w:r>
              <w:rPr>
                <w:color w:val="000000"/>
                <w:sz w:val="20"/>
              </w:rPr>
              <w:t xml:space="preserve"> </w:t>
            </w:r>
            <w:r>
              <w:rPr>
                <w:sz w:val="20"/>
              </w:rPr>
              <w:t>regardless of whether the energy requirements of the Accounts are being supplied by us or the applicable Utility.</w:t>
            </w:r>
          </w:p>
          <w:p>
            <w:pPr>
              <w:pStyle w:val="Normal"/>
              <w:widowControl w:val="false"/>
              <w:ind w:start="522" w:end="0"/>
              <w:jc w:val="both"/>
              <w:rPr/>
            </w:pPr>
            <w:r>
              <w:rPr>
                <w:sz w:val="20"/>
              </w:rPr>
              <w:t>"</w:t>
            </w:r>
            <w:r>
              <w:rPr>
                <w:sz w:val="20"/>
                <w:u w:val="single"/>
              </w:rPr>
              <w:t>Special Utility Charges</w:t>
            </w:r>
            <w:r>
              <w:rPr>
                <w:sz w:val="20"/>
              </w:rPr>
              <w:t>" means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w:t>
            </w:r>
          </w:p>
        </w:tc>
      </w:tr>
      <w:tr>
        <w:trPr/>
        <w:tc>
          <w:tcPr>
            <w:tcW w:w="2812" w:type="dxa"/>
            <w:gridSpan w:val="2"/>
            <w:tcBorders/>
          </w:tcPr>
          <w:p>
            <w:pPr>
              <w:pStyle w:val="Normal"/>
              <w:widowControl w:val="false"/>
              <w:snapToGrid w:val="false"/>
              <w:jc w:val="both"/>
              <w:rPr>
                <w:sz w:val="20"/>
              </w:rPr>
            </w:pPr>
            <w:r>
              <w:rPr>
                <w:sz w:val="20"/>
              </w:rPr>
            </w:r>
          </w:p>
        </w:tc>
        <w:tc>
          <w:tcPr>
            <w:tcW w:w="7290" w:type="dxa"/>
            <w:tcBorders/>
          </w:tcPr>
          <w:p>
            <w:pPr>
              <w:pStyle w:val="Normal"/>
              <w:widowControl w:val="false"/>
              <w:snapToGrid w:val="false"/>
              <w:jc w:val="both"/>
              <w:rPr>
                <w:sz w:val="20"/>
              </w:rPr>
            </w:pPr>
            <w:r>
              <w:rPr>
                <w:sz w:val="20"/>
              </w:rPr>
            </w:r>
          </w:p>
        </w:tc>
      </w:tr>
      <w:tr>
        <w:trPr/>
        <w:tc>
          <w:tcPr>
            <w:tcW w:w="2812" w:type="dxa"/>
            <w:gridSpan w:val="2"/>
            <w:tcBorders/>
          </w:tcPr>
          <w:p>
            <w:pPr>
              <w:pStyle w:val="Normal"/>
              <w:widowControl w:val="false"/>
              <w:rPr>
                <w:b/>
                <w:sz w:val="20"/>
              </w:rPr>
            </w:pPr>
            <w:r>
              <w:rPr>
                <w:b/>
                <w:sz w:val="20"/>
              </w:rPr>
              <w:t>EXCESS AND DEFICIENCY USAGE CHARGES:</w:t>
            </w:r>
          </w:p>
        </w:tc>
        <w:tc>
          <w:tcPr>
            <w:tcW w:w="7290" w:type="dxa"/>
            <w:tcBorders/>
          </w:tcPr>
          <w:p>
            <w:pPr>
              <w:pStyle w:val="Normal"/>
              <w:spacing w:lineRule="atLeast" w:line="240"/>
              <w:jc w:val="both"/>
              <w:rPr/>
            </w:pPr>
            <w:r>
              <w:rPr>
                <w:rFonts w:cs="Tms Rmn" w:ascii="Tms Rmn" w:hAnsi="Tms Rmn"/>
                <w:color w:val="000000"/>
                <w:sz w:val="20"/>
                <w:u w:val="single"/>
                <w:lang w:eastAsia="en-US"/>
              </w:rPr>
              <w:t>Excess Usage</w:t>
            </w:r>
            <w:r>
              <w:rPr>
                <w:rFonts w:cs="Tms Rmn" w:ascii="Tms Rmn" w:hAnsi="Tms Rmn"/>
                <w:color w:val="000000"/>
                <w:sz w:val="20"/>
                <w:lang w:eastAsia="en-US"/>
              </w:rPr>
              <w:t xml:space="preserve">:  For each kWh of Excess Usage at each Account for each month, we will calculate an amount equal to the difference derived by subtracting (i) the EESI Energy Price from (ii) the Spot Energy Price for the applicable month.  If such amount is a positive number, you will owe us that amount, and if such amount is a negative number, we will owe you the positive value of that amount. </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r>
          </w:p>
          <w:p>
            <w:pPr>
              <w:pStyle w:val="Normal"/>
              <w:spacing w:lineRule="atLeast" w:line="240"/>
              <w:jc w:val="both"/>
              <w:rPr/>
            </w:pPr>
            <w:r>
              <w:rPr>
                <w:rFonts w:cs="Tms Rmn" w:ascii="Tms Rmn" w:hAnsi="Tms Rmn"/>
                <w:color w:val="000000"/>
                <w:sz w:val="20"/>
                <w:u w:val="single"/>
                <w:lang w:eastAsia="en-US"/>
              </w:rPr>
              <w:t>Deficiency Usage</w:t>
            </w:r>
            <w:r>
              <w:rPr>
                <w:rFonts w:cs="Tms Rmn" w:ascii="Tms Rmn" w:hAnsi="Tms Rmn"/>
                <w:color w:val="000000"/>
                <w:sz w:val="20"/>
                <w:lang w:eastAsia="en-US"/>
              </w:rPr>
              <w:t xml:space="preserve">:  For each kWh of Deficiency Usage at each Account for each month, we will calculate an amount equal to the difference derived by subtracting (i) the Spot Energy Price for the applicable month from (ii) the EESI Energy Price. If such amount is a positive number, you will owe us that amount, and if such amount is a negative number, we will owe you the positive value of that amount. </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r>
          </w:p>
          <w:p>
            <w:pPr>
              <w:pStyle w:val="Normal"/>
              <w:spacing w:lineRule="atLeast" w:line="240"/>
              <w:jc w:val="both"/>
              <w:rPr/>
            </w:pPr>
            <w:r>
              <w:rPr>
                <w:rFonts w:cs="Tms Rmn" w:ascii="Tms Rmn" w:hAnsi="Tms Rmn"/>
                <w:color w:val="000000"/>
                <w:sz w:val="20"/>
                <w:lang w:eastAsia="en-US"/>
              </w:rPr>
              <w:t>As used herein, “</w:t>
            </w:r>
            <w:r>
              <w:rPr>
                <w:rFonts w:cs="Tms Rmn" w:ascii="Tms Rmn" w:hAnsi="Tms Rmn"/>
                <w:color w:val="000000"/>
                <w:sz w:val="20"/>
                <w:u w:val="single"/>
                <w:lang w:eastAsia="en-US"/>
              </w:rPr>
              <w:t>Spot Energy Price</w:t>
            </w:r>
            <w:r>
              <w:rPr>
                <w:rFonts w:cs="Tms Rmn" w:ascii="Tms Rmn" w:hAnsi="Tms Rmn"/>
                <w:color w:val="000000"/>
                <w:sz w:val="20"/>
                <w:lang w:eastAsia="en-US"/>
              </w:rPr>
              <w:t xml:space="preserve">” means the Weighted Average Energy Price applicable to the California ISO delivery point </w:t>
            </w:r>
            <w:r>
              <w:rPr>
                <w:rFonts w:cs="Tms Rmn" w:ascii="Tms Rmn" w:hAnsi="Tms Rmn"/>
                <w:color w:val="000000"/>
                <w:sz w:val="20"/>
                <w:u w:val="single"/>
                <w:lang w:eastAsia="en-US"/>
              </w:rPr>
              <w:t>plus</w:t>
            </w:r>
            <w:r>
              <w:rPr>
                <w:rFonts w:cs="Tms Rmn" w:ascii="Tms Rmn" w:hAnsi="Tms Rmn"/>
                <w:color w:val="000000"/>
                <w:sz w:val="20"/>
                <w:lang w:eastAsia="en-US"/>
              </w:rPr>
              <w:t xml:space="preserve"> all non-Utility charges arising from uplifts, ancillary services, losses, congestion and other ISO charges or administrative fees incurred in connection with delivery of energy to the ISO.</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t>.</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tab/>
              <w:t>WHERE:</w:t>
            </w:r>
          </w:p>
          <w:p>
            <w:pPr>
              <w:pStyle w:val="Normal"/>
              <w:spacing w:lineRule="atLeast" w:line="240"/>
              <w:ind w:firstLine="720" w:start="720" w:end="0"/>
              <w:jc w:val="both"/>
              <w:rPr/>
            </w:pPr>
            <w:r>
              <w:rPr>
                <w:rFonts w:cs="Tms Rmn" w:ascii="Tms Rmn" w:hAnsi="Tms Rmn"/>
                <w:i/>
                <w:color w:val="000000"/>
                <w:sz w:val="20"/>
                <w:lang w:eastAsia="en-US"/>
              </w:rPr>
              <w:t>"Weighted Average Energy Price"</w:t>
            </w:r>
            <w:r>
              <w:rPr>
                <w:rFonts w:cs="Tms Rmn" w:ascii="Tms Rmn" w:hAnsi="Tms Rmn"/>
                <w:color w:val="000000"/>
                <w:sz w:val="20"/>
                <w:lang w:eastAsia="en-US"/>
              </w:rPr>
              <w:t xml:space="preserve"> means (A) the product of (i) the applicable DJ Index Prices for on-peak, off-peak, Sunday, and NERC holidays; multiplied by (ii) the applicable Account's actual on-peak, off-peak, Sunday and NERC holiday usage, respectively, for the applicable Billing Cycle; divided by (B) the Actual Usage for the applicable Billing Cycle. </w:t>
            </w:r>
          </w:p>
          <w:p>
            <w:pPr>
              <w:pStyle w:val="Normal"/>
              <w:spacing w:lineRule="atLeast" w:line="240"/>
              <w:ind w:firstLine="720" w:start="720" w:end="0"/>
              <w:jc w:val="both"/>
              <w:rPr>
                <w:rFonts w:ascii="Tms Rmn" w:hAnsi="Tms Rmn" w:eastAsia="Tms Rmn" w:cs="Tms Rmn"/>
                <w:color w:val="000000"/>
                <w:sz w:val="20"/>
                <w:lang w:eastAsia="en-US"/>
              </w:rPr>
            </w:pPr>
            <w:r>
              <w:rPr>
                <w:rFonts w:eastAsia="Tms Rmn" w:cs="Tms Rmn" w:ascii="Tms Rmn" w:hAnsi="Tms Rmn"/>
                <w:color w:val="000000"/>
                <w:sz w:val="20"/>
                <w:lang w:eastAsia="en-US"/>
              </w:rPr>
              <w:t xml:space="preserve"> </w:t>
            </w:r>
          </w:p>
          <w:p>
            <w:pPr>
              <w:pStyle w:val="Normal"/>
              <w:widowControl w:val="false"/>
              <w:ind w:firstLine="396" w:start="702" w:end="0"/>
              <w:jc w:val="both"/>
              <w:rPr>
                <w:sz w:val="20"/>
              </w:rPr>
            </w:pPr>
            <w:r>
              <w:rPr>
                <w:rFonts w:cs="Tms Rmn" w:ascii="Tms Rmn" w:hAnsi="Tms Rmn"/>
                <w:i/>
                <w:color w:val="000000"/>
                <w:sz w:val="20"/>
                <w:lang w:eastAsia="en-US"/>
              </w:rPr>
              <w:tab/>
              <w:t>"DJ Index Prices"</w:t>
            </w:r>
            <w:r>
              <w:rPr>
                <w:rFonts w:cs="Tms Rmn" w:ascii="Tms Rmn" w:hAnsi="Tms Rmn"/>
                <w:color w:val="000000"/>
                <w:sz w:val="20"/>
                <w:lang w:eastAsia="en-US"/>
              </w:rPr>
              <w:t xml:space="preserve"> means for any on peak, off peak, Sunday or NERC holiday hour (as applicable) during a particular day of the month, the price for firm electric energy for such on peak, off peak, Sunday or NERC holiday hour, respectively, as published in </w:t>
            </w:r>
            <w:r>
              <w:rPr>
                <w:rFonts w:cs="Tms Rmn" w:ascii="Tms Rmn" w:hAnsi="Tms Rmn"/>
                <w:i/>
                <w:color w:val="000000"/>
                <w:sz w:val="20"/>
                <w:lang w:eastAsia="en-US"/>
              </w:rPr>
              <w:t>The</w:t>
            </w:r>
            <w:r>
              <w:rPr>
                <w:rFonts w:cs="Tms Rmn" w:ascii="Tms Rmn" w:hAnsi="Tms Rmn"/>
                <w:color w:val="000000"/>
                <w:sz w:val="20"/>
                <w:lang w:eastAsia="en-US"/>
              </w:rPr>
              <w:t xml:space="preserve"> </w:t>
            </w:r>
            <w:r>
              <w:rPr>
                <w:rFonts w:cs="Tms Rmn" w:ascii="Tms Rmn" w:hAnsi="Tms Rmn"/>
                <w:i/>
                <w:color w:val="000000"/>
                <w:sz w:val="20"/>
                <w:lang w:eastAsia="en-US"/>
              </w:rPr>
              <w:t>Wall Street Journal</w:t>
            </w:r>
            <w:r>
              <w:rPr>
                <w:rFonts w:cs="Tms Rmn" w:ascii="Tms Rmn" w:hAnsi="Tms Rmn"/>
                <w:color w:val="000000"/>
                <w:sz w:val="20"/>
                <w:lang w:eastAsia="en-US"/>
              </w:rPr>
              <w:t xml:space="preserve"> (or its successor) for such day, which price shall be the applicable zonal prices (e.g. NP 15, SP 15 and any other similar applicable zones determined by the ISO) delivered to the ISO-controlled grid in California, as applicable for each Account, and shall be exclusive of non-Utility charges arising from uplifts, ancillary services, losses, congestion and other ISO charges or administrative fees incurred in connection with delivery of energy to the ISO.</w:t>
            </w:r>
          </w:p>
        </w:tc>
      </w:tr>
      <w:tr>
        <w:trPr/>
        <w:tc>
          <w:tcPr>
            <w:tcW w:w="2812" w:type="dxa"/>
            <w:gridSpan w:val="2"/>
            <w:tcBorders/>
          </w:tcPr>
          <w:p>
            <w:pPr>
              <w:pStyle w:val="Normal"/>
              <w:widowControl w:val="false"/>
              <w:snapToGrid w:val="false"/>
              <w:rPr>
                <w:b/>
                <w:sz w:val="20"/>
              </w:rPr>
            </w:pPr>
            <w:r>
              <w:rPr>
                <w:b/>
                <w:sz w:val="20"/>
              </w:rPr>
            </w:r>
          </w:p>
        </w:tc>
        <w:tc>
          <w:tcPr>
            <w:tcW w:w="7290" w:type="dxa"/>
            <w:tcBorders/>
          </w:tcPr>
          <w:p>
            <w:pPr>
              <w:pStyle w:val="Normal"/>
              <w:widowControl w:val="false"/>
              <w:snapToGrid w:val="false"/>
              <w:jc w:val="both"/>
              <w:rPr>
                <w:b/>
                <w:sz w:val="20"/>
                <w:u w:val="single"/>
              </w:rPr>
            </w:pPr>
            <w:r>
              <w:rPr>
                <w:b/>
                <w:sz w:val="20"/>
                <w:u w:val="single"/>
              </w:rPr>
            </w:r>
          </w:p>
        </w:tc>
      </w:tr>
      <w:tr>
        <w:trPr/>
        <w:tc>
          <w:tcPr>
            <w:tcW w:w="2812" w:type="dxa"/>
            <w:gridSpan w:val="2"/>
            <w:tcBorders/>
          </w:tcPr>
          <w:p>
            <w:pPr>
              <w:pStyle w:val="Normal"/>
              <w:widowControl w:val="false"/>
              <w:rPr>
                <w:b/>
                <w:sz w:val="20"/>
              </w:rPr>
            </w:pPr>
            <w:r>
              <w:rPr>
                <w:b/>
                <w:sz w:val="20"/>
              </w:rPr>
              <w:t>UTILITY INVOICE PAYMENT:</w:t>
            </w:r>
          </w:p>
        </w:tc>
        <w:tc>
          <w:tcPr>
            <w:tcW w:w="7290" w:type="dxa"/>
            <w:tcBorders/>
          </w:tcPr>
          <w:p>
            <w:pPr>
              <w:pStyle w:val="Normal"/>
              <w:widowControl w:val="false"/>
              <w:jc w:val="both"/>
              <w:rPr/>
            </w:pPr>
            <w:r>
              <w:rPr>
                <w:sz w:val="20"/>
              </w:rPr>
              <w:t>X  yes</w:t>
              <w:tab/>
              <w:tab/>
            </w:r>
            <w:r>
              <w:rPr>
                <w:rFonts w:eastAsia="Symbol" w:cs="Symbol" w:ascii="Symbol" w:hAnsi="Symbol"/>
                <w:sz w:val="20"/>
              </w:rPr>
              <w:sym w:font="Symbol" w:char="f0ff"/>
            </w:r>
            <w:r>
              <w:rPr>
                <w:sz w:val="20"/>
              </w:rPr>
              <w:t xml:space="preserve">  no</w:t>
            </w:r>
          </w:p>
        </w:tc>
      </w:tr>
      <w:tr>
        <w:trPr/>
        <w:tc>
          <w:tcPr>
            <w:tcW w:w="2812" w:type="dxa"/>
            <w:gridSpan w:val="2"/>
            <w:tcBorders/>
          </w:tcPr>
          <w:p>
            <w:pPr>
              <w:pStyle w:val="Normal"/>
              <w:widowControl w:val="false"/>
              <w:snapToGrid w:val="false"/>
              <w:jc w:val="both"/>
              <w:rPr>
                <w:b/>
                <w:sz w:val="20"/>
              </w:rPr>
            </w:pPr>
            <w:r>
              <w:rPr>
                <w:b/>
                <w:sz w:val="20"/>
              </w:rPr>
            </w:r>
          </w:p>
        </w:tc>
        <w:tc>
          <w:tcPr>
            <w:tcW w:w="7290" w:type="dxa"/>
            <w:tcBorders/>
          </w:tcPr>
          <w:p>
            <w:pPr>
              <w:pStyle w:val="Normal"/>
              <w:widowControl w:val="false"/>
              <w:snapToGrid w:val="false"/>
              <w:jc w:val="both"/>
              <w:rPr>
                <w:b/>
                <w:sz w:val="20"/>
              </w:rPr>
            </w:pPr>
            <w:r>
              <w:rPr>
                <w:b/>
                <w:sz w:val="20"/>
              </w:rPr>
            </w:r>
          </w:p>
        </w:tc>
      </w:tr>
      <w:tr>
        <w:trPr/>
        <w:tc>
          <w:tcPr>
            <w:tcW w:w="2812" w:type="dxa"/>
            <w:gridSpan w:val="2"/>
            <w:tcBorders/>
          </w:tcPr>
          <w:p>
            <w:pPr>
              <w:pStyle w:val="Normal"/>
              <w:widowControl w:val="false"/>
              <w:rPr>
                <w:b/>
                <w:sz w:val="20"/>
              </w:rPr>
            </w:pPr>
            <w:r>
              <w:rPr>
                <w:b/>
                <w:sz w:val="20"/>
              </w:rPr>
              <w:t>ADDITIONAL CREDIT PROVISIONS:</w:t>
            </w:r>
          </w:p>
        </w:tc>
        <w:tc>
          <w:tcPr>
            <w:tcW w:w="7290" w:type="dxa"/>
            <w:tcBorders/>
          </w:tcPr>
          <w:p>
            <w:pPr>
              <w:pStyle w:val="Normal"/>
              <w:widowControl w:val="false"/>
              <w:jc w:val="both"/>
              <w:rPr>
                <w:sz w:val="20"/>
              </w:rPr>
            </w:pPr>
            <w:r>
              <w:rPr>
                <w:sz w:val="20"/>
              </w:rPr>
              <w:t>[        ]</w:t>
            </w:r>
          </w:p>
        </w:tc>
      </w:tr>
      <w:tr>
        <w:trPr/>
        <w:tc>
          <w:tcPr>
            <w:tcW w:w="2812" w:type="dxa"/>
            <w:gridSpan w:val="2"/>
            <w:tcBorders/>
          </w:tcPr>
          <w:p>
            <w:pPr>
              <w:pStyle w:val="Normal"/>
              <w:widowControl w:val="false"/>
              <w:snapToGrid w:val="false"/>
              <w:jc w:val="both"/>
              <w:rPr>
                <w:b/>
                <w:sz w:val="20"/>
              </w:rPr>
            </w:pPr>
            <w:r>
              <w:rPr>
                <w:b/>
                <w:sz w:val="20"/>
              </w:rPr>
            </w:r>
          </w:p>
        </w:tc>
        <w:tc>
          <w:tcPr>
            <w:tcW w:w="7290" w:type="dxa"/>
            <w:tcBorders/>
          </w:tcPr>
          <w:p>
            <w:pPr>
              <w:pStyle w:val="Normal"/>
              <w:widowControl w:val="false"/>
              <w:snapToGrid w:val="false"/>
              <w:jc w:val="both"/>
              <w:rPr>
                <w:b/>
                <w:sz w:val="20"/>
              </w:rPr>
            </w:pPr>
            <w:r>
              <w:rPr>
                <w:b/>
                <w:sz w:val="20"/>
              </w:rPr>
            </w:r>
          </w:p>
        </w:tc>
      </w:tr>
      <w:tr>
        <w:trPr/>
        <w:tc>
          <w:tcPr>
            <w:tcW w:w="2812" w:type="dxa"/>
            <w:gridSpan w:val="2"/>
            <w:tcBorders/>
          </w:tcPr>
          <w:p>
            <w:pPr>
              <w:pStyle w:val="Normal"/>
              <w:keepNext w:val="true"/>
              <w:widowControl w:val="false"/>
              <w:rPr>
                <w:b/>
                <w:sz w:val="20"/>
              </w:rPr>
            </w:pPr>
            <w:r>
              <w:rPr>
                <w:b/>
                <w:sz w:val="20"/>
              </w:rPr>
              <w:t>SPECIAL TERMS AND CONDITIONS:</w:t>
            </w:r>
          </w:p>
        </w:tc>
        <w:tc>
          <w:tcPr>
            <w:tcW w:w="7290" w:type="dxa"/>
            <w:tcBorders/>
          </w:tcPr>
          <w:p>
            <w:pPr>
              <w:pStyle w:val="Normal"/>
              <w:keepNext w:val="true"/>
              <w:widowControl w:val="false"/>
              <w:jc w:val="both"/>
              <w:rPr>
                <w:sz w:val="20"/>
              </w:rPr>
            </w:pPr>
            <w:r>
              <w:rPr>
                <w:sz w:val="20"/>
              </w:rPr>
              <w:t xml:space="preserve">All of the Facilities subject to this Transaction are located in the state of California;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Normal"/>
              <w:keepNext w:val="true"/>
              <w:widowControl w:val="false"/>
              <w:numPr>
                <w:ilvl w:val="0"/>
                <w:numId w:val="2"/>
              </w:numPr>
              <w:jc w:val="both"/>
              <w:rPr>
                <w:sz w:val="20"/>
              </w:rPr>
            </w:pPr>
            <w:r>
              <w:rPr>
                <w:sz w:val="20"/>
              </w:rPr>
              <w:t>As required by applicable Law and Rules and if so requested by a Utility, you will execute a separate written confirmation with the applicable Utility acknowledging your obligation to pay certain transition recovery costs to the Utility pursuant to the Utility's rate schedule and tariff.  You will be responsible for any costs or penalties associated with your failure to comply with this requirement.</w:t>
            </w:r>
          </w:p>
          <w:p>
            <w:pPr>
              <w:pStyle w:val="Normal"/>
              <w:keepNext w:val="true"/>
              <w:widowControl w:val="false"/>
              <w:numPr>
                <w:ilvl w:val="0"/>
                <w:numId w:val="2"/>
              </w:numPr>
              <w:jc w:val="both"/>
              <w:rPr>
                <w:sz w:val="20"/>
              </w:rPr>
            </w:pPr>
            <w:r>
              <w:rPr>
                <w:sz w:val="20"/>
              </w:rPr>
              <w:t>We will provide metering services at the Facilities in accordance with Schedule 2 hereto.</w:t>
            </w:r>
          </w:p>
          <w:p>
            <w:pPr>
              <w:pStyle w:val="Normal"/>
              <w:keepNext w:val="true"/>
              <w:widowControl w:val="false"/>
              <w:numPr>
                <w:ilvl w:val="0"/>
                <w:numId w:val="2"/>
              </w:numPr>
              <w:jc w:val="both"/>
              <w:rPr>
                <w:sz w:val="20"/>
              </w:rPr>
            </w:pPr>
            <w:r>
              <w:rPr>
                <w:color w:val="000000"/>
                <w:sz w:val="20"/>
                <w:lang w:eastAsia="en-US"/>
              </w:rPr>
              <w:t xml:space="preserve">For the purpose of determining Market Value as set forth in </w:t>
            </w:r>
            <w:r>
              <w:rPr>
                <w:color w:val="000000"/>
                <w:sz w:val="20"/>
                <w:u w:val="single"/>
                <w:lang w:eastAsia="en-US"/>
              </w:rPr>
              <w:t>Section 3.4</w:t>
            </w:r>
            <w:r>
              <w:rPr>
                <w:color w:val="000000"/>
                <w:sz w:val="20"/>
                <w:lang w:eastAsia="en-US"/>
              </w:rPr>
              <w:t xml:space="preserve"> of the Master Agreement, any tariff rate available for a return to Utility service may only be considered in the event that Customer is calculating its Early Termination Payment pursuant to </w:t>
            </w:r>
            <w:r>
              <w:rPr>
                <w:color w:val="000000"/>
                <w:sz w:val="20"/>
                <w:u w:val="single"/>
                <w:lang w:eastAsia="en-US"/>
              </w:rPr>
              <w:t>Section 3.3</w:t>
            </w:r>
            <w:r>
              <w:rPr>
                <w:color w:val="000000"/>
                <w:sz w:val="20"/>
                <w:lang w:eastAsia="en-US"/>
              </w:rPr>
              <w:t xml:space="preserve"> of the Master Agreement as result of an Event of Default by EESI.</w:t>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9450" w:type="dxa"/>
        <w:jc w:val="start"/>
        <w:tblInd w:w="198" w:type="dxa"/>
        <w:tblLayout w:type="fixed"/>
        <w:tblCellMar>
          <w:top w:w="0" w:type="dxa"/>
          <w:start w:w="108" w:type="dxa"/>
          <w:bottom w:w="0" w:type="dxa"/>
          <w:end w:w="108" w:type="dxa"/>
        </w:tblCellMar>
      </w:tblPr>
      <w:tblGrid>
        <w:gridCol w:w="4590"/>
        <w:gridCol w:w="4860"/>
      </w:tblGrid>
      <w:tr>
        <w:trPr/>
        <w:tc>
          <w:tcPr>
            <w:tcW w:w="459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Author" w:date="0-00-00T00:00:00Z"/>
              </w:rPr>
              <w:t xml:space="preserve">mack-cali realty, l.p.    not for execution </w:t>
            </w:r>
          </w:p>
        </w:tc>
        <w:tc>
          <w:tcPr>
            <w:tcW w:w="486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59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486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59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486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59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486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Author"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Unknown Author" w:date="2000-08-01T17:43:00Z"/>
              </w:rPr>
              <w:t>Utility</w:t>
              <w:rPrChange w:id="0" w:author="Unknown Author" w:date="2000-08-01T17:43:00Z"/>
            </w:r>
          </w:p>
          <w:p>
            <w:pPr>
              <w:pStyle w:val="Heading5"/>
              <w:ind w:hanging="0" w:start="0"/>
              <w:rPr/>
            </w:pPr>
            <w:r>
              <w:rPr>
                <w:rPrChange w:id="0" w:author="Unknown Author"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Pr>
    </w:p>
    <w:p>
      <w:pPr>
        <w:pStyle w:val="Outline1"/>
        <w:widowControl w:val="false"/>
        <w:numPr>
          <w:ilvl w:val="0"/>
          <w:numId w:val="0"/>
        </w:numPr>
        <w:outlineLvl w:val="0"/>
        <w:rPr/>
      </w:pPr>
      <w:r>
        <w:rPr/>
        <w:t>SCHEDULE 2</w:t>
      </w:r>
    </w:p>
    <w:p>
      <w:pPr>
        <w:pStyle w:val="Outline1"/>
        <w:widowControl w:val="false"/>
        <w:numPr>
          <w:ilvl w:val="0"/>
          <w:numId w:val="0"/>
        </w:numPr>
        <w:outlineLvl w:val="0"/>
        <w:rPr/>
      </w:pPr>
      <w:r>
        <w:rPr/>
      </w:r>
    </w:p>
    <w:p>
      <w:pPr>
        <w:pStyle w:val="Outline1"/>
        <w:widowControl w:val="false"/>
        <w:numPr>
          <w:ilvl w:val="0"/>
          <w:numId w:val="0"/>
        </w:numPr>
        <w:outlineLvl w:val="0"/>
        <w:rPr/>
      </w:pPr>
      <w:r>
        <w:rPr/>
        <w:t>METERING SERVICES</w:t>
      </w:r>
    </w:p>
    <w:p>
      <w:pPr>
        <w:pStyle w:val="Normal"/>
        <w:widowControl w:val="false"/>
        <w:jc w:val="both"/>
        <w:rPr>
          <w:sz w:val="20"/>
        </w:rPr>
      </w:pPr>
      <w:r>
        <w:rPr>
          <w:sz w:val="20"/>
        </w:rPr>
      </w:r>
    </w:p>
    <w:p>
      <w:pPr>
        <w:pStyle w:val="Normal"/>
        <w:widowControl w:val="false"/>
        <w:jc w:val="both"/>
        <w:rPr>
          <w:sz w:val="20"/>
        </w:rPr>
      </w:pPr>
      <w:r>
        <w:rPr>
          <w:sz w:val="20"/>
        </w:rPr>
        <w:t>EESI will provide metering services to Customer in accordance with the following terms and conditions.</w:t>
      </w:r>
    </w:p>
    <w:p>
      <w:pPr>
        <w:pStyle w:val="Normal"/>
        <w:widowControl w:val="false"/>
        <w:jc w:val="both"/>
        <w:rPr>
          <w:sz w:val="20"/>
        </w:rPr>
      </w:pPr>
      <w:r>
        <w:rPr>
          <w:sz w:val="20"/>
        </w:rPr>
      </w:r>
    </w:p>
    <w:p>
      <w:pPr>
        <w:pStyle w:val="Normal"/>
        <w:widowControl w:val="false"/>
        <w:tabs>
          <w:tab w:val="clear" w:pos="720"/>
          <w:tab w:val="left" w:pos="360" w:leader="none"/>
        </w:tabs>
        <w:ind w:hanging="360" w:start="360" w:end="0"/>
        <w:jc w:val="both"/>
        <w:rPr/>
      </w:pPr>
      <w:r>
        <w:rPr>
          <w:sz w:val="20"/>
        </w:rPr>
        <w:t>1.</w:t>
        <w:tab/>
      </w:r>
      <w:r>
        <w:rPr>
          <w:sz w:val="20"/>
          <w:u w:val="single"/>
        </w:rPr>
        <w:t>Installation of Meters</w:t>
      </w:r>
      <w:r>
        <w:rPr>
          <w:sz w:val="20"/>
        </w:rPr>
        <w:t xml:space="preserve">. To the extent required under the Rules in order for Customer to be permitted to purchase energy from EESI, EESI will install, for the fees set forth on Attachment A to this Schedule, for each Facility listed on </w:t>
      </w:r>
      <w:r>
        <w:rPr>
          <w:sz w:val="20"/>
          <w:u w:val="single"/>
        </w:rPr>
        <w:t>Schedule 1</w:t>
      </w:r>
      <w:r>
        <w:rPr>
          <w:sz w:val="20"/>
        </w:rPr>
        <w:t xml:space="preserve"> to this Confirmation, a meter or meters, including software, if applicable (the "</w:t>
      </w:r>
      <w:r>
        <w:rPr>
          <w:sz w:val="20"/>
          <w:u w:val="single"/>
        </w:rPr>
        <w:t>Meters</w:t>
      </w:r>
      <w:r>
        <w:rPr>
          <w:sz w:val="20"/>
        </w:rPr>
        <w:t>").  EESI will maintain, read and bill with respect to the Meters at no additional charge to Customer.</w:t>
      </w:r>
    </w:p>
    <w:p>
      <w:pPr>
        <w:pStyle w:val="Normal"/>
        <w:widowControl w:val="false"/>
        <w:ind w:start="720" w:end="0"/>
        <w:jc w:val="both"/>
        <w:rPr>
          <w:sz w:val="20"/>
        </w:rPr>
      </w:pPr>
      <w:r>
        <w:rPr>
          <w:sz w:val="20"/>
        </w:rPr>
      </w:r>
    </w:p>
    <w:p>
      <w:pPr>
        <w:pStyle w:val="Normal"/>
        <w:widowControl w:val="false"/>
        <w:tabs>
          <w:tab w:val="clear" w:pos="720"/>
          <w:tab w:val="left" w:pos="360" w:leader="none"/>
        </w:tabs>
        <w:jc w:val="both"/>
        <w:rPr/>
      </w:pPr>
      <w:r>
        <w:rPr>
          <w:sz w:val="20"/>
        </w:rPr>
        <w:t>2.</w:t>
        <w:tab/>
      </w:r>
      <w:r>
        <w:rPr>
          <w:sz w:val="20"/>
          <w:u w:val="single"/>
        </w:rPr>
        <w:t>Charges for Additional Meters / Other Supplier Meters/Metering Services</w:t>
      </w:r>
      <w:r>
        <w:rPr>
          <w:sz w:val="20"/>
        </w:rPr>
        <w:t>.</w:t>
      </w:r>
    </w:p>
    <w:p>
      <w:pPr>
        <w:pStyle w:val="Normal"/>
        <w:widowControl w:val="false"/>
        <w:ind w:start="360" w:end="0"/>
        <w:jc w:val="both"/>
        <w:rPr>
          <w:sz w:val="20"/>
          <w:u w:val="single"/>
        </w:rPr>
      </w:pPr>
      <w:r>
        <w:rPr>
          <w:sz w:val="20"/>
          <w:u w:val="single"/>
        </w:rPr>
      </w:r>
    </w:p>
    <w:p>
      <w:pPr>
        <w:pStyle w:val="Normal"/>
        <w:widowControl w:val="false"/>
        <w:ind w:start="360" w:end="0"/>
        <w:jc w:val="both"/>
        <w:rPr/>
      </w:pPr>
      <w:r>
        <w:rPr>
          <w:sz w:val="20"/>
        </w:rPr>
        <w:t>(a)</w:t>
        <w:tab/>
        <w:t xml:space="preserve">The charges for installation of meters at any Facility not listed on </w:t>
      </w:r>
      <w:r>
        <w:rPr>
          <w:sz w:val="20"/>
          <w:u w:val="single"/>
        </w:rPr>
        <w:t>Schedule 1</w:t>
      </w:r>
      <w:r>
        <w:rPr>
          <w:sz w:val="20"/>
        </w:rPr>
        <w:t xml:space="preserve"> to this Transaction as of the effective date of this Transaction, or for any additional meters or metering services required to be installed or performed at any Facility pursuant to the Rules, or on account of a change in the Rules (collectively, "</w:t>
      </w:r>
      <w:r>
        <w:rPr>
          <w:sz w:val="20"/>
          <w:u w:val="single"/>
        </w:rPr>
        <w:t>Additional Meters</w:t>
      </w:r>
      <w:r>
        <w:rPr>
          <w:sz w:val="20"/>
        </w:rPr>
        <w:t>" and, together with the all other Meters, the "</w:t>
      </w:r>
      <w:r>
        <w:rPr>
          <w:sz w:val="20"/>
          <w:u w:val="single"/>
        </w:rPr>
        <w:t>Meters</w:t>
      </w:r>
      <w:r>
        <w:rPr>
          <w:sz w:val="20"/>
        </w:rPr>
        <w:t xml:space="preserve">") as well as maintenance, reading, and billing therefor are set forth on </w:t>
      </w:r>
      <w:r>
        <w:rPr>
          <w:sz w:val="20"/>
          <w:u w:val="single"/>
        </w:rPr>
        <w:t>Attachment A</w:t>
      </w:r>
      <w:r>
        <w:rPr>
          <w:sz w:val="20"/>
        </w:rPr>
        <w:t xml:space="preserve"> to this Schedule.  If any Additional Meters are required at any time during the Transaction Term, EESI will install them and Customer will pay the charges therefor as set forth on </w:t>
      </w:r>
      <w:r>
        <w:rPr>
          <w:sz w:val="20"/>
          <w:u w:val="single"/>
        </w:rPr>
        <w:t>Attachment A</w:t>
      </w:r>
      <w:r>
        <w:rPr>
          <w:sz w:val="20"/>
        </w:rPr>
        <w:t xml:space="preserve">.  </w:t>
      </w:r>
    </w:p>
    <w:p>
      <w:pPr>
        <w:pStyle w:val="Normal"/>
        <w:widowControl w:val="false"/>
        <w:ind w:firstLine="360" w:start="360" w:end="0"/>
        <w:jc w:val="both"/>
        <w:rPr>
          <w:sz w:val="20"/>
        </w:rPr>
      </w:pPr>
      <w:r>
        <w:rPr>
          <w:sz w:val="20"/>
        </w:rPr>
      </w:r>
    </w:p>
    <w:p>
      <w:pPr>
        <w:pStyle w:val="Normal"/>
        <w:widowControl w:val="false"/>
        <w:ind w:start="360" w:end="0"/>
        <w:jc w:val="both"/>
        <w:rPr/>
      </w:pPr>
      <w:r>
        <w:rPr>
          <w:sz w:val="20"/>
        </w:rPr>
        <w:t>(b)</w:t>
        <w:tab/>
        <w:t>For each Facility which prior to the effective date of this Confirmation was being served by a Competitive Supplier and being metered by a Meter that was not owned and installed by the applicable Utility (each a "</w:t>
      </w:r>
      <w:r>
        <w:rPr>
          <w:sz w:val="20"/>
          <w:u w:val="single"/>
        </w:rPr>
        <w:t>Competitive Supplier Meter</w:t>
      </w:r>
      <w:r>
        <w:rPr>
          <w:sz w:val="20"/>
        </w:rPr>
        <w:t xml:space="preserve">"), Customer will pay to EESI a transition and setup charge of $100 per each such Competitive Supplier Meter.  If any Competitive Supplier Meter requires recalibration, reprogramming, or recertification in order to comply with the Rules, Customer will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will replace such Competitive Supplier Meter with an EESI Meter at the cost to Customer set forth on </w:t>
      </w:r>
      <w:r>
        <w:rPr>
          <w:sz w:val="20"/>
          <w:u w:val="single"/>
        </w:rPr>
        <w:t>Attachment A</w:t>
      </w:r>
      <w:r>
        <w:rPr>
          <w:sz w:val="20"/>
        </w:rPr>
        <w:t xml:space="preserve"> to this Schedule.</w:t>
      </w:r>
    </w:p>
    <w:p>
      <w:pPr>
        <w:pStyle w:val="Normal"/>
        <w:widowControl w:val="false"/>
        <w:ind w:start="360" w:end="0"/>
        <w:jc w:val="both"/>
        <w:rPr>
          <w:sz w:val="20"/>
        </w:rPr>
      </w:pPr>
      <w:r>
        <w:rPr>
          <w:sz w:val="20"/>
        </w:rPr>
      </w:r>
    </w:p>
    <w:p>
      <w:pPr>
        <w:pStyle w:val="Normal"/>
        <w:widowControl w:val="false"/>
        <w:ind w:start="360" w:end="0"/>
        <w:jc w:val="both"/>
        <w:rPr>
          <w:sz w:val="20"/>
        </w:rPr>
      </w:pPr>
      <w:r>
        <w:rPr>
          <w:sz w:val="20"/>
        </w:rPr>
        <w:t>(c)</w:t>
        <w:tab/>
        <w:t xml:space="preserve">If telephone based Meter(s) are required at a Facility, Customer will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will be paid by Customer.  </w:t>
      </w:r>
    </w:p>
    <w:p>
      <w:pPr>
        <w:pStyle w:val="Normal"/>
        <w:widowControl w:val="false"/>
        <w:ind w:start="360" w:end="0"/>
        <w:jc w:val="both"/>
        <w:rPr>
          <w:sz w:val="20"/>
        </w:rPr>
      </w:pPr>
      <w:r>
        <w:rPr>
          <w:sz w:val="20"/>
        </w:rPr>
      </w:r>
    </w:p>
    <w:p>
      <w:pPr>
        <w:pStyle w:val="Normal"/>
        <w:widowControl w:val="false"/>
        <w:ind w:start="360" w:end="0"/>
        <w:jc w:val="both"/>
        <w:rPr>
          <w:sz w:val="20"/>
        </w:rPr>
      </w:pPr>
      <w:r>
        <w:rPr>
          <w:sz w:val="20"/>
        </w:rPr>
        <w:t>(d)</w:t>
        <w:tab/>
      </w:r>
      <w:r>
        <w:rPr>
          <w:sz w:val="20"/>
          <w:lang w:eastAsia="en-US"/>
        </w:rPr>
        <w:t>If a pulse output is required to interface with Customer's energy management system, Customer will pay EESI an additional monthly fee of $25.00 per wireless Meter, and no charge for phone based Meters.  If Customer desires to collect a pulse output from any meter which as of the effective date of this Confirmation is not equipped for pulse output, then all costs to install and maintain the appropriate equipment (e.g., isolation relays and pulse equipment) will be paid by Customer.</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3.</w:t>
        <w:tab/>
      </w:r>
      <w:r>
        <w:rPr>
          <w:sz w:val="20"/>
          <w:u w:val="single"/>
        </w:rPr>
        <w:t>Access/Cooperation</w:t>
      </w:r>
      <w:r>
        <w:rPr>
          <w:sz w:val="20"/>
        </w:rPr>
        <w:t xml:space="preserve">.  Customer will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sz w:val="20"/>
          <w:u w:val="single"/>
        </w:rPr>
        <w:t>provided</w:t>
      </w:r>
      <w:r>
        <w:rPr>
          <w:sz w:val="20"/>
        </w:rPr>
        <w:t xml:space="preserve"> that if granting such access during any period outside of normal operating hours would unreasonably and adversely interfere with Customer's operations, then Customer will provide EESI with access to the affected Facility or Facilities as soon as reasonably practicable.  Customer will provide EESI with the historical maintenance records in its possession (or which it is reasonably able to obtain) for each of Customer's existing Competitive Supplier Meters within sixty days of the effective date of this Confirmation.</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4.</w:t>
        <w:tab/>
      </w:r>
      <w:r>
        <w:rPr>
          <w:sz w:val="20"/>
          <w:u w:val="single"/>
        </w:rPr>
        <w:t>Meter Maintenance</w:t>
      </w:r>
      <w:r>
        <w:rPr>
          <w:sz w:val="20"/>
        </w:rPr>
        <w:t xml:space="preserve">.  Meters installed by EESI will be maintained throughout the Transaction Term in accordance with all applicable Rules, including periodic testing and calibration; </w:t>
      </w:r>
      <w:r>
        <w:rPr>
          <w:sz w:val="20"/>
          <w:u w:val="single"/>
        </w:rPr>
        <w:t>provided</w:t>
      </w:r>
      <w:r>
        <w:rPr>
          <w:sz w:val="20"/>
        </w:rPr>
        <w:t xml:space="preserve"> that EESI will not be responsible for any costs or expenses arising from or caused by: (a) acts or omissions of Customer,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Transaction Term.</w:t>
      </w:r>
    </w:p>
    <w:p>
      <w:pPr>
        <w:pStyle w:val="Normal"/>
        <w:widowControl w:val="false"/>
        <w:ind w:start="360" w:end="0"/>
        <w:jc w:val="both"/>
        <w:rPr>
          <w:sz w:val="20"/>
        </w:rPr>
      </w:pPr>
      <w:r>
        <w:rPr>
          <w:sz w:val="20"/>
        </w:rPr>
      </w:r>
    </w:p>
    <w:p>
      <w:pPr>
        <w:pStyle w:val="Normal"/>
        <w:widowControl w:val="false"/>
        <w:tabs>
          <w:tab w:val="clear" w:pos="720"/>
          <w:tab w:val="left" w:pos="360" w:leader="none"/>
        </w:tabs>
        <w:ind w:hanging="360" w:start="360" w:end="0"/>
        <w:jc w:val="both"/>
        <w:rPr/>
      </w:pPr>
      <w:r>
        <w:rPr>
          <w:sz w:val="20"/>
        </w:rPr>
        <w:t>5.</w:t>
        <w:tab/>
      </w:r>
      <w:r>
        <w:rPr>
          <w:sz w:val="20"/>
          <w:u w:val="single"/>
        </w:rPr>
        <w:t>Title Transfer; Limited Warranty; Disclaimer</w:t>
      </w:r>
      <w:r>
        <w:rPr>
          <w:sz w:val="20"/>
        </w:rPr>
        <w:t xml:space="preserve">.  Title to and ownership of each Meter installed by EESI will transfer to Customer upon the completion of the installation of such Meter. EESI warrants that each Meter installed by EESI will (a) be conveyed to Customer free and clear of liens and (b) perform in accordance with all applicable Rules at all times during the Transaction Term. EESI will repair or replace any Meter installed by EESI with a functionally equivalent meter in the event of breach of this limited warranty.  Such replacement is Customer's sole and exclusive remedy for breach of this limited warranty.  Except as set forth in this </w:t>
      </w:r>
      <w:r>
        <w:rPr>
          <w:sz w:val="20"/>
          <w:u w:val="single"/>
        </w:rPr>
        <w:t>Section 5</w:t>
      </w:r>
      <w:r>
        <w:rPr>
          <w:sz w:val="20"/>
        </w:rPr>
        <w:t xml:space="preserve">, all Meters are expressly accepted by Customer in their "AS IS, WHERE IS" CONDITION AND WITHOUT WARRANTY OF ANY KIND, EXPRESS OR IMPLIED, INCLUDING BUT NOT LIMITED TO ANY WARRANTY OF MERCHANTABILITY OR FITNESS FOR ANY PARTICULAR PURPOSE OR USE, ANY AND ALL SUCH WARRANTIES BEING HEREBY EXPRESSLY DISCLAIMED.  All Meters installed by EESI are expressly accepted by Customer subject to the terms and conditions of the Software Sublicense Agreement attached as </w:t>
      </w:r>
      <w:r>
        <w:rPr>
          <w:sz w:val="20"/>
          <w:u w:val="single"/>
        </w:rPr>
        <w:t>Attachment B</w:t>
      </w:r>
      <w:r>
        <w:rPr>
          <w:sz w:val="20"/>
        </w:rPr>
        <w:t xml:space="preserve"> to this Schedule.</w:t>
      </w:r>
    </w:p>
    <w:p>
      <w:pPr>
        <w:pStyle w:val="Normal"/>
        <w:widowControl w:val="false"/>
        <w:jc w:val="both"/>
        <w:rPr>
          <w:sz w:val="20"/>
          <w:u w:val="single"/>
        </w:rPr>
      </w:pPr>
      <w:r>
        <w:rPr>
          <w:sz w:val="20"/>
          <w:u w:val="single"/>
        </w:rPr>
      </w:r>
    </w:p>
    <w:p>
      <w:pPr>
        <w:pStyle w:val="Normal"/>
        <w:widowControl w:val="false"/>
        <w:ind w:start="360" w:end="0"/>
        <w:jc w:val="center"/>
        <w:rPr>
          <w:sz w:val="20"/>
        </w:rPr>
      </w:pPr>
      <w:r>
        <w:rPr>
          <w:sz w:val="20"/>
        </w:rPr>
        <w:t>[Remainder of page left intentionally blank]</w:t>
      </w:r>
    </w:p>
    <w:p>
      <w:pPr>
        <w:pStyle w:val="Normal"/>
        <w:widowControl w:val="false"/>
        <w:ind w:start="360" w:end="0"/>
        <w:jc w:val="both"/>
        <w:rPr>
          <w:sz w:val="20"/>
        </w:rPr>
      </w:pPr>
      <w:r>
        <w:rPr>
          <w:sz w:val="20"/>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val="false"/>
        <w:ind w:start="360" w:end="0"/>
        <w:jc w:val="both"/>
        <w:rPr>
          <w:sz w:val="20"/>
        </w:rPr>
      </w:pPr>
      <w:r>
        <w:rPr>
          <w:sz w:val="20"/>
        </w:rPr>
      </w:r>
    </w:p>
    <w:p>
      <w:pPr>
        <w:pStyle w:val="Normal"/>
        <w:spacing w:lineRule="atLeast" w:line="240"/>
        <w:rPr>
          <w:rFonts w:ascii="Tms Rmn" w:hAnsi="Tms Rmn" w:cs="Tms Rmn"/>
          <w:sz w:val="20"/>
          <w:u w:val="single"/>
          <w:lang w:eastAsia="en-US"/>
        </w:rPr>
      </w:pPr>
      <w:r>
        <w:rPr>
          <w:rFonts w:cs="Tms Rmn" w:ascii="Tms Rmn" w:hAnsi="Tms Rmn"/>
          <w:sz w:val="20"/>
          <w:u w:val="single"/>
          <w:lang w:eastAsia="en-US"/>
        </w:rPr>
      </w:r>
    </w:p>
    <w:p>
      <w:pPr>
        <w:pStyle w:val="Normal"/>
        <w:spacing w:lineRule="atLeast" w:line="240"/>
        <w:jc w:val="center"/>
        <w:rPr>
          <w:color w:val="000000"/>
          <w:sz w:val="18"/>
          <w:u w:val="single"/>
          <w:lang w:eastAsia="en-US"/>
        </w:rPr>
      </w:pPr>
      <w:r>
        <w:rPr>
          <w:color w:val="000000"/>
          <w:sz w:val="18"/>
          <w:u w:val="single"/>
          <w:lang w:eastAsia="en-US"/>
        </w:rPr>
        <w:t>Attachment A</w:t>
      </w:r>
    </w:p>
    <w:p>
      <w:pPr>
        <w:pStyle w:val="Normal"/>
        <w:spacing w:lineRule="atLeast" w:line="240"/>
        <w:jc w:val="center"/>
        <w:rPr>
          <w:color w:val="000000"/>
          <w:sz w:val="18"/>
          <w:u w:val="single"/>
          <w:lang w:eastAsia="en-US"/>
        </w:rPr>
      </w:pPr>
      <w:r>
        <w:rPr>
          <w:color w:val="000000"/>
          <w:sz w:val="18"/>
          <w:u w:val="single"/>
          <w:lang w:eastAsia="en-US"/>
        </w:rPr>
        <w:t>To Schedule 2</w:t>
      </w:r>
    </w:p>
    <w:p>
      <w:pPr>
        <w:pStyle w:val="Normal"/>
        <w:spacing w:lineRule="atLeast" w:line="240"/>
        <w:jc w:val="center"/>
        <w:rPr>
          <w:color w:val="000000"/>
          <w:sz w:val="18"/>
          <w:u w:val="single"/>
          <w:lang w:eastAsia="en-US"/>
        </w:rPr>
      </w:pPr>
      <w:r>
        <w:rPr>
          <w:color w:val="000000"/>
          <w:sz w:val="18"/>
          <w:u w:val="single"/>
          <w:lang w:eastAsia="en-US"/>
        </w:rPr>
      </w:r>
    </w:p>
    <w:p>
      <w:pPr>
        <w:pStyle w:val="Heading7"/>
        <w:ind w:hanging="0" w:start="0"/>
        <w:rPr/>
      </w:pPr>
      <w:r>
        <w:rPr/>
        <w:t xml:space="preserve">Charges for Meters and Metering Services </w:t>
      </w:r>
    </w:p>
    <w:p>
      <w:pPr>
        <w:pStyle w:val="Normal"/>
        <w:tabs>
          <w:tab w:val="clear" w:pos="720"/>
          <w:tab w:val="left" w:pos="5040" w:leader="none"/>
          <w:tab w:val="left" w:pos="9900" w:leader="none"/>
        </w:tabs>
        <w:spacing w:lineRule="atLeast" w:line="240"/>
        <w:rPr>
          <w:color w:val="000000"/>
          <w:sz w:val="18"/>
          <w:lang w:eastAsia="en-US"/>
        </w:rPr>
      </w:pPr>
      <w:r>
        <w:rPr>
          <w:color w:val="000000"/>
          <w:sz w:val="18"/>
          <w:lang w:eastAsia="en-US"/>
        </w:rPr>
      </w:r>
    </w:p>
    <w:p>
      <w:pPr>
        <w:pStyle w:val="Normal"/>
        <w:tabs>
          <w:tab w:val="clear" w:pos="720"/>
          <w:tab w:val="left" w:pos="5040" w:leader="none"/>
          <w:tab w:val="left" w:pos="9900" w:leader="none"/>
        </w:tabs>
        <w:spacing w:lineRule="atLeast" w:line="240"/>
        <w:rPr>
          <w:color w:val="000000"/>
          <w:sz w:val="18"/>
          <w:lang w:eastAsia="en-US"/>
        </w:rPr>
      </w:pPr>
      <w:r>
        <w:rPr>
          <w:color w:val="000000"/>
          <w:sz w:val="18"/>
          <w:lang w:eastAsia="en-US"/>
        </w:rPr>
      </w:r>
    </w:p>
    <w:p>
      <w:pPr>
        <w:pStyle w:val="Normal"/>
        <w:spacing w:lineRule="atLeast" w:line="240" w:before="120" w:after="0"/>
        <w:rPr>
          <w:color w:val="000000"/>
          <w:sz w:val="18"/>
          <w:lang w:eastAsia="en-US"/>
        </w:rPr>
      </w:pPr>
      <w:r>
        <w:rPr>
          <w:color w:val="000000"/>
          <w:sz w:val="18"/>
          <w:lang w:eastAsia="en-US"/>
        </w:rPr>
        <w:t>Purchase and Installation of a phone-based meter:</w:t>
        <w:tab/>
        <w:t>$    600.00 per meter one time cost</w:t>
      </w:r>
    </w:p>
    <w:p>
      <w:pPr>
        <w:pStyle w:val="Normal"/>
        <w:spacing w:lineRule="atLeast" w:line="240" w:before="120" w:after="0"/>
        <w:rPr>
          <w:color w:val="000000"/>
          <w:sz w:val="18"/>
          <w:lang w:eastAsia="en-US"/>
        </w:rPr>
      </w:pPr>
      <w:r>
        <w:rPr>
          <w:color w:val="000000"/>
          <w:sz w:val="18"/>
          <w:lang w:eastAsia="en-US"/>
        </w:rPr>
        <w:t>Purchase and installation of a wireless meter:</w:t>
        <w:tab/>
        <w:t>$ 1,200.00 per meter one time cost</w:t>
      </w:r>
    </w:p>
    <w:p>
      <w:pPr>
        <w:pStyle w:val="Normal"/>
        <w:spacing w:lineRule="atLeast" w:line="240" w:before="120" w:after="0"/>
        <w:jc w:val="both"/>
        <w:rPr>
          <w:color w:val="000000"/>
          <w:sz w:val="18"/>
          <w:lang w:eastAsia="en-US"/>
        </w:rPr>
      </w:pPr>
      <w:r>
        <w:rPr>
          <w:color w:val="000000"/>
          <w:sz w:val="18"/>
          <w:lang w:eastAsia="en-US"/>
        </w:rPr>
        <w:t>Monthly Maintenance:</w:t>
        <w:tab/>
        <w:tab/>
        <w:tab/>
        <w:tab/>
        <w:t>$      30.00 per month</w:t>
      </w:r>
    </w:p>
    <w:p>
      <w:pPr>
        <w:pStyle w:val="Normal"/>
        <w:spacing w:lineRule="atLeast" w:line="240" w:before="120" w:after="0"/>
        <w:jc w:val="both"/>
        <w:rPr>
          <w:color w:val="000000"/>
          <w:sz w:val="18"/>
          <w:lang w:eastAsia="en-US"/>
        </w:rPr>
      </w:pPr>
      <w:r>
        <w:rPr>
          <w:color w:val="000000"/>
          <w:sz w:val="18"/>
          <w:lang w:eastAsia="en-US"/>
        </w:rPr>
      </w:r>
    </w:p>
    <w:p>
      <w:pPr>
        <w:pStyle w:val="Normal"/>
        <w:spacing w:lineRule="atLeast" w:line="240"/>
        <w:jc w:val="both"/>
        <w:rPr>
          <w:color w:val="000000"/>
          <w:sz w:val="18"/>
          <w:lang w:eastAsia="en-US"/>
        </w:rPr>
      </w:pPr>
      <w:r>
        <w:rPr>
          <w:color w:val="000000"/>
          <w:sz w:val="18"/>
          <w:lang w:eastAsia="en-US"/>
        </w:rPr>
      </w:r>
    </w:p>
    <w:p>
      <w:pPr>
        <w:pStyle w:val="Normal"/>
        <w:tabs>
          <w:tab w:val="clear" w:pos="720"/>
          <w:tab w:val="left" w:pos="5040" w:leader="none"/>
          <w:tab w:val="left" w:pos="9900" w:leader="none"/>
        </w:tabs>
        <w:spacing w:lineRule="atLeast" w:line="240"/>
        <w:rPr>
          <w:color w:val="000000"/>
          <w:sz w:val="18"/>
          <w:lang w:eastAsia="en-US"/>
        </w:rPr>
      </w:pPr>
      <w:r>
        <w:rPr>
          <w:color w:val="000000"/>
          <w:sz w:val="18"/>
          <w:lang w:eastAsia="en-US"/>
        </w:rPr>
        <w:t>Taxes</w:t>
      </w:r>
    </w:p>
    <w:p>
      <w:pPr>
        <w:pStyle w:val="Normal"/>
        <w:tabs>
          <w:tab w:val="clear" w:pos="720"/>
          <w:tab w:val="left" w:pos="4500" w:leader="none"/>
          <w:tab w:val="left" w:pos="9900" w:leader="none"/>
        </w:tabs>
        <w:spacing w:lineRule="atLeast" w:line="240" w:before="120" w:after="0"/>
        <w:rPr>
          <w:color w:val="000000"/>
          <w:sz w:val="18"/>
          <w:lang w:eastAsia="en-US"/>
        </w:rPr>
      </w:pPr>
      <w:r>
        <w:rPr>
          <w:color w:val="000000"/>
          <w:sz w:val="18"/>
          <w:lang w:eastAsia="en-US"/>
        </w:rPr>
        <w:t>The prices quoted above are exclusive of sales or other applicable Taxes on the stated charges, and all applicable Taxes will be payable by Customer on a passthrough basis.</w:t>
      </w:r>
    </w:p>
    <w:p>
      <w:pPr>
        <w:pStyle w:val="Normal"/>
        <w:widowControl w:val="false"/>
        <w:jc w:val="both"/>
        <w:rPr>
          <w:color w:val="000000"/>
          <w:sz w:val="20"/>
          <w:lang w:eastAsia="en-US"/>
        </w:rPr>
      </w:pPr>
      <w:r>
        <w:rPr>
          <w:color w:val="000000"/>
          <w:sz w:val="20"/>
          <w:lang w:eastAsia="en-US"/>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val="false"/>
        <w:jc w:val="both"/>
        <w:rPr>
          <w:sz w:val="20"/>
        </w:rPr>
      </w:pPr>
      <w:r>
        <w:rPr>
          <w:sz w:val="20"/>
        </w:rPr>
      </w:r>
    </w:p>
    <w:p>
      <w:pPr>
        <w:pStyle w:val="Normal"/>
        <w:widowControl w:val="false"/>
        <w:jc w:val="center"/>
        <w:rPr>
          <w:b w:val="false"/>
          <w:sz w:val="20"/>
          <w:u w:val="single"/>
        </w:rPr>
      </w:pPr>
      <w:r>
        <w:rPr>
          <w:b w:val="false"/>
          <w:sz w:val="20"/>
          <w:u w:val="single"/>
        </w:rPr>
      </w:r>
    </w:p>
    <w:p>
      <w:pPr>
        <w:pStyle w:val="BodyText"/>
        <w:numPr>
          <w:ilvl w:val="0"/>
          <w:numId w:val="0"/>
        </w:numPr>
        <w:jc w:val="center"/>
        <w:outlineLvl w:val="0"/>
        <w:rPr>
          <w:u w:val="single"/>
        </w:rPr>
      </w:pPr>
      <w:r>
        <w:rPr>
          <w:u w:val="single"/>
        </w:rPr>
        <w:t>Attachment B</w:t>
      </w:r>
    </w:p>
    <w:p>
      <w:pPr>
        <w:pStyle w:val="BodyText"/>
        <w:jc w:val="center"/>
        <w:rPr>
          <w:u w:val="single"/>
        </w:rPr>
      </w:pPr>
      <w:r>
        <w:rPr>
          <w:u w:val="single"/>
        </w:rPr>
        <w:t>to Schedule 2</w:t>
      </w:r>
    </w:p>
    <w:p>
      <w:pPr>
        <w:pStyle w:val="BodyText"/>
        <w:jc w:val="center"/>
        <w:rPr>
          <w:u w:val="single"/>
        </w:rPr>
      </w:pPr>
      <w:r>
        <w:rPr>
          <w:u w:val="single"/>
        </w:rPr>
      </w:r>
    </w:p>
    <w:p>
      <w:pPr>
        <w:pStyle w:val="Heading2"/>
        <w:keepNext w:val="false"/>
        <w:ind w:hanging="0" w:start="0"/>
        <w:jc w:val="center"/>
        <w:rPr>
          <w:rFonts w:ascii="Times New Roman" w:hAnsi="Times New Roman" w:cs="Times New Roman"/>
          <w:sz w:val="20"/>
        </w:rPr>
      </w:pPr>
      <w:r>
        <w:rPr>
          <w:rFonts w:cs="Times New Roman" w:ascii="Times New Roman" w:hAnsi="Times New Roman"/>
          <w:sz w:val="20"/>
        </w:rPr>
        <w:t>Sublicense Agreement for Transfer of Wireless Metering Systems</w:t>
      </w:r>
    </w:p>
    <w:p>
      <w:pPr>
        <w:pStyle w:val="Normal"/>
        <w:widowControl w:val="false"/>
        <w:rPr>
          <w:rFonts w:ascii="Times New Roman" w:hAnsi="Times New Roman" w:cs="Times New Roman"/>
          <w:sz w:val="20"/>
        </w:rPr>
      </w:pPr>
      <w:r>
        <w:rPr>
          <w:rFonts w:cs="Times New Roman"/>
          <w:sz w:val="20"/>
        </w:rPr>
      </w:r>
    </w:p>
    <w:p>
      <w:pPr>
        <w:pStyle w:val="Normal"/>
        <w:widowControl w:val="false"/>
        <w:rPr>
          <w:sz w:val="20"/>
        </w:rPr>
      </w:pPr>
      <w:r>
        <w:rPr>
          <w:sz w:val="20"/>
        </w:rPr>
      </w:r>
    </w:p>
    <w:p>
      <w:pPr>
        <w:pStyle w:val="Normal"/>
        <w:widowControl w:val="false"/>
        <w:jc w:val="both"/>
        <w:rPr/>
      </w:pPr>
      <w:r>
        <w:rPr>
          <w:sz w:val="20"/>
        </w:rPr>
        <w:t>Enron Energy Services, Inc. ("</w:t>
      </w:r>
      <w:r>
        <w:rPr>
          <w:sz w:val="20"/>
          <w:u w:val="single"/>
        </w:rPr>
        <w:t>EESI</w:t>
      </w:r>
      <w:r>
        <w:rPr>
          <w:sz w:val="20"/>
        </w:rPr>
        <w:t>") and [____________] ("</w:t>
      </w:r>
      <w:r>
        <w:rPr>
          <w:sz w:val="20"/>
          <w:u w:val="single"/>
        </w:rPr>
        <w:t>Customer</w:t>
      </w:r>
      <w:r>
        <w:rPr>
          <w:sz w:val="20"/>
        </w:rPr>
        <w:t>") agree that the following terms and conditions will govern the sublicensing by EESI to Customer of any and all software programs ("</w:t>
      </w:r>
      <w:r>
        <w:rPr>
          <w:sz w:val="20"/>
          <w:u w:val="single"/>
        </w:rPr>
        <w:t>Software</w:t>
      </w:r>
      <w:r>
        <w:rPr>
          <w:sz w:val="20"/>
        </w:rPr>
        <w:t>") contained in the electricity meter systems transferred to Customer by EESI (the "</w:t>
      </w:r>
      <w:r>
        <w:rPr>
          <w:sz w:val="20"/>
          <w:u w:val="single"/>
        </w:rPr>
        <w:t>Meter Systems</w:t>
      </w:r>
      <w:r>
        <w:rPr>
          <w:sz w:val="20"/>
        </w:rPr>
        <w:t>") as of the date hereof.</w:t>
      </w:r>
    </w:p>
    <w:p>
      <w:pPr>
        <w:pStyle w:val="Normal"/>
        <w:widowControl w:val="false"/>
        <w:jc w:val="both"/>
        <w:rPr>
          <w:sz w:val="20"/>
        </w:rPr>
      </w:pPr>
      <w:r>
        <w:rPr>
          <w:sz w:val="20"/>
        </w:rPr>
      </w:r>
    </w:p>
    <w:p>
      <w:pPr>
        <w:pStyle w:val="Normal"/>
        <w:widowControl w:val="false"/>
        <w:jc w:val="both"/>
        <w:rPr>
          <w:sz w:val="20"/>
        </w:rPr>
      </w:pPr>
      <w:r>
        <w:rPr>
          <w:sz w:val="20"/>
        </w:rPr>
        <w:t>Customer hereby acknowledges and agrees that this Sublicense is personal, revocable, non-exclusive and non-transferable.  The Software is sublicensed hereunder solely for use within the Meter Systems.  Customer cannot sell, lend, lease, or otherwise transfer the Software to a third party without first obtaining EESI's written authorization.  Customer will not modify or copy the Software without EESI's prior written consent.  On any permitted copy or modification Customer makes of or to the Software, Customer must reproduce and include the copyright or other proprietary rights notices originally contained on the Software.  Customer may not reverse compile or disassemble the Software under any circumstance.</w:t>
      </w:r>
    </w:p>
    <w:p>
      <w:pPr>
        <w:pStyle w:val="Normal"/>
        <w:widowControl w:val="false"/>
        <w:jc w:val="both"/>
        <w:rPr>
          <w:sz w:val="20"/>
        </w:rPr>
      </w:pPr>
      <w:r>
        <w:rPr>
          <w:sz w:val="20"/>
        </w:rPr>
      </w:r>
    </w:p>
    <w:p>
      <w:pPr>
        <w:pStyle w:val="Normal"/>
        <w:widowControl w:val="false"/>
        <w:jc w:val="both"/>
        <w:rPr>
          <w:sz w:val="20"/>
        </w:rPr>
      </w:pPr>
      <w:r>
        <w:rPr>
          <w:sz w:val="20"/>
        </w:rPr>
        <w:t>If without EESI's prior written consent Customer edits, translates, enhances or otherwise modifies any machine readable portion of the Software for Customer' own use, any warranties made or other obligations to Customer in connection with the Software are void.</w:t>
      </w:r>
    </w:p>
    <w:p>
      <w:pPr>
        <w:pStyle w:val="Normal"/>
        <w:widowControl w:val="false"/>
        <w:jc w:val="both"/>
        <w:rPr>
          <w:sz w:val="20"/>
        </w:rPr>
      </w:pPr>
      <w:r>
        <w:rPr>
          <w:sz w:val="20"/>
        </w:rPr>
      </w:r>
    </w:p>
    <w:p>
      <w:pPr>
        <w:pStyle w:val="Normal"/>
        <w:widowControl w:val="false"/>
        <w:jc w:val="both"/>
        <w:rPr>
          <w:sz w:val="20"/>
        </w:rPr>
      </w:pPr>
      <w:r>
        <w:rPr>
          <w:sz w:val="20"/>
        </w:rPr>
        <w:t>THE SOFTWARE IS SUBLICENSED HEREUNDER IN "AS IS, WHEREAS" CONDITION.  ALL WARRANTIES, OF ANY KIND, EXPRESS OR IMPLIED, INCLUDING BUT NOT LIMITED TO ANY WARRANTY OF MERCHANTABILITY OR FITNESS FOR ANY PARTICULAR PURPOSE OR USE, ANY AND ALL SUCH WARRANTIES BEING HEREBY EXPRESSLY DISCLAIMED BY EESI.</w:t>
      </w:r>
    </w:p>
    <w:p>
      <w:pPr>
        <w:pStyle w:val="Normal"/>
        <w:widowControl w:val="false"/>
        <w:jc w:val="both"/>
        <w:rPr>
          <w:sz w:val="20"/>
        </w:rPr>
      </w:pPr>
      <w:r>
        <w:rPr>
          <w:sz w:val="20"/>
        </w:rPr>
      </w:r>
    </w:p>
    <w:p>
      <w:pPr>
        <w:pStyle w:val="Normal"/>
        <w:widowControl w:val="false"/>
        <w:jc w:val="both"/>
        <w:rPr>
          <w:sz w:val="20"/>
        </w:rPr>
      </w:pPr>
      <w:r>
        <w:rPr>
          <w:sz w:val="20"/>
        </w:rPr>
        <w:t>The Sublicense granted to Customer will begin on the day the Meter Systems are transferred to Customer and will continue until said Sublicense is terminated by EESI, if ever, as a result of Customer violation of the terms hereof (it being understood that this Sublicense shall be permanent so long as Customer does not violate the terms hereof.</w:t>
      </w:r>
    </w:p>
    <w:p>
      <w:pPr>
        <w:pStyle w:val="Normal"/>
        <w:widowControl w:val="false"/>
        <w:jc w:val="both"/>
        <w:rPr>
          <w:sz w:val="20"/>
        </w:rPr>
      </w:pPr>
      <w:r>
        <w:rPr>
          <w:sz w:val="20"/>
        </w:rPr>
      </w:r>
    </w:p>
    <w:p>
      <w:pPr>
        <w:pStyle w:val="Normal"/>
        <w:widowControl w:val="false"/>
        <w:jc w:val="both"/>
        <w:rPr>
          <w:sz w:val="20"/>
        </w:rPr>
      </w:pPr>
      <w:r>
        <w:rPr>
          <w:sz w:val="20"/>
        </w:rPr>
        <w:tab/>
        <w:t>IN WITNESS WHEREOF, the Parties have caused this Agreement to be executed in multiple originals on this [____] day of [_______], 2001.</w:t>
      </w:r>
    </w:p>
    <w:p>
      <w:pPr>
        <w:pStyle w:val="Normal"/>
        <w:widowControl w:val="false"/>
        <w:jc w:val="both"/>
        <w:rPr>
          <w:sz w:val="20"/>
        </w:rPr>
      </w:pPr>
      <w:r>
        <w:rPr>
          <w:sz w:val="20"/>
        </w:rPr>
      </w:r>
    </w:p>
    <w:p>
      <w:pPr>
        <w:pStyle w:val="Heading1"/>
        <w:widowControl w:val="false"/>
        <w:tabs>
          <w:tab w:val="clear" w:pos="720"/>
          <w:tab w:val="left" w:pos="5760" w:leader="none"/>
        </w:tabs>
        <w:spacing w:before="0" w:after="120"/>
        <w:ind w:hanging="0" w:start="0"/>
        <w:rPr/>
      </w:pPr>
      <w:r>
        <w:rPr/>
        <w:t>ENRON ENERGY SERVICES, INC.</w:t>
        <w:tab/>
        <w:t>[CUSTOMER]</w:t>
      </w:r>
    </w:p>
    <w:p>
      <w:pPr>
        <w:pStyle w:val="Normal"/>
        <w:widowControl w:val="false"/>
        <w:rPr>
          <w:sz w:val="20"/>
        </w:rPr>
      </w:pPr>
      <w:r>
        <w:rPr>
          <w:sz w:val="20"/>
        </w:rPr>
      </w:r>
    </w:p>
    <w:p>
      <w:pPr>
        <w:pStyle w:val="Normal"/>
        <w:widowControl w:val="false"/>
        <w:tabs>
          <w:tab w:val="clear" w:pos="720"/>
          <w:tab w:val="left" w:pos="4320" w:leader="none"/>
          <w:tab w:val="left" w:pos="5760" w:leader="none"/>
          <w:tab w:val="left" w:pos="10440" w:leader="none"/>
        </w:tabs>
        <w:spacing w:before="0" w:after="120"/>
        <w:rPr>
          <w:sz w:val="20"/>
          <w:u w:val="single"/>
        </w:rPr>
      </w:pPr>
      <w:r>
        <w:rPr>
          <w:sz w:val="20"/>
        </w:rPr>
        <w:t>By:</w:t>
      </w:r>
      <w:r>
        <w:rPr>
          <w:b/>
          <w:sz w:val="20"/>
          <w:u w:val="single"/>
        </w:rPr>
        <w:t xml:space="preserve">         NOT FOR EXECUTION</w:t>
        <w:tab/>
      </w:r>
      <w:r>
        <w:rPr>
          <w:sz w:val="20"/>
        </w:rPr>
        <w:tab/>
        <w:t>By:</w:t>
      </w:r>
      <w:r>
        <w:rPr>
          <w:b/>
          <w:sz w:val="20"/>
        </w:rPr>
        <w:t xml:space="preserve"> </w:t>
      </w:r>
      <w:r>
        <w:rPr>
          <w:b/>
          <w:sz w:val="20"/>
          <w:u w:val="single"/>
        </w:rPr>
        <w:t xml:space="preserve">           NOT FOR EXECUTION</w:t>
        <w:tab/>
      </w:r>
    </w:p>
    <w:p>
      <w:pPr>
        <w:pStyle w:val="Normal"/>
        <w:widowControl w:val="false"/>
        <w:tabs>
          <w:tab w:val="clear" w:pos="720"/>
          <w:tab w:val="left" w:pos="4320" w:leader="none"/>
          <w:tab w:val="left" w:pos="5760" w:leader="none"/>
          <w:tab w:val="left" w:pos="10440" w:leader="none"/>
        </w:tabs>
        <w:spacing w:before="0" w:after="120"/>
        <w:rPr/>
      </w:pPr>
      <w:r>
        <w:rPr>
          <w:sz w:val="20"/>
        </w:rPr>
        <w:t xml:space="preserve">Name: </w:t>
      </w:r>
      <w:r>
        <w:rPr>
          <w:sz w:val="20"/>
          <w:u w:val="single"/>
        </w:rPr>
        <w:tab/>
      </w:r>
      <w:r>
        <w:rPr>
          <w:sz w:val="20"/>
        </w:rPr>
        <w:tab/>
        <w:t xml:space="preserve">Name: </w:t>
      </w:r>
      <w:r>
        <w:rPr>
          <w:sz w:val="20"/>
          <w:u w:val="single"/>
        </w:rPr>
        <w:tab/>
      </w:r>
    </w:p>
    <w:p>
      <w:pPr>
        <w:pStyle w:val="Normal"/>
        <w:widowControl w:val="false"/>
        <w:tabs>
          <w:tab w:val="clear" w:pos="720"/>
          <w:tab w:val="left" w:pos="4320" w:leader="none"/>
          <w:tab w:val="left" w:pos="5760" w:leader="none"/>
          <w:tab w:val="left" w:pos="10440" w:leader="none"/>
        </w:tabs>
        <w:rPr/>
      </w:pPr>
      <w:r>
        <w:rPr>
          <w:sz w:val="20"/>
        </w:rPr>
        <w:t xml:space="preserve">Title: </w:t>
      </w:r>
      <w:r>
        <w:rPr>
          <w:sz w:val="20"/>
          <w:u w:val="single"/>
        </w:rPr>
        <w:tab/>
      </w:r>
      <w:r>
        <w:rPr>
          <w:sz w:val="20"/>
        </w:rPr>
        <w:tab/>
        <w:t xml:space="preserve">Title: </w:t>
      </w:r>
      <w:r>
        <w:rPr>
          <w:sz w:val="20"/>
          <w:u w:val="single"/>
        </w:rPr>
        <w:tab/>
      </w:r>
    </w:p>
    <w:p>
      <w:pPr>
        <w:pStyle w:val="Normal"/>
        <w:rPr>
          <w:sz w:val="20"/>
          <w:u w:val="single"/>
        </w:rPr>
      </w:pPr>
      <w:r>
        <w:rPr>
          <w:sz w:val="20"/>
          <w:u w:val="single"/>
        </w:rPr>
      </w:r>
    </w:p>
    <w:sectPr>
      <w:headerReference w:type="default" r:id="rId16"/>
      <w:headerReference w:type="first" r:id="rId17"/>
      <w:footerReference w:type="default" r:id="rId18"/>
      <w:footerReference w:type="first" r:id="rId19"/>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pPr>
    <w:r>
      <w:rPr>
        <w:rStyle w:val="PageNumber"/>
        <w:i/>
        <w:sz w:val="16"/>
      </w:rPr>
      <w:t>Mack Cali  Confirm FP 9-19-01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spacing w:lineRule="atLeast" w:line="240"/>
      <w:jc w:val="center"/>
      <w:outlineLvl w:val="6"/>
    </w:pPr>
    <w:rPr>
      <w:b/>
      <w:color w:val="000000"/>
      <w:sz w:val="18"/>
      <w:lang w:eastAsia="en-US"/>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2001-09-19T11:19:00Z</dcterms:created>
  <dc:creator>Mike Smith</dc:creator>
  <dc:description/>
  <dc:language>en-CA</dc:language>
  <cp:lastModifiedBy>mmaynard</cp:lastModifiedBy>
  <cp:lastPrinted>2001-06-20T19:13:00Z</cp:lastPrinted>
  <dcterms:modified xsi:type="dcterms:W3CDTF">2001-09-19T11:26:00Z</dcterms:modified>
  <cp:revision>3</cp:revision>
  <dc:subject/>
  <dc:title>Transaction Confirmatino</dc:title>
</cp:coreProperties>
</file>